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721AA" w14:textId="77777777" w:rsidR="00086352" w:rsidRPr="002746FC" w:rsidRDefault="00086352" w:rsidP="00086352">
      <w:pPr>
        <w:spacing w:after="0" w:line="240" w:lineRule="auto"/>
        <w:ind w:left="-567" w:firstLine="720"/>
        <w:jc w:val="center"/>
        <w:rPr>
          <w:rFonts w:ascii="Times New Roman" w:eastAsia="Times New Roman" w:hAnsi="Times New Roman" w:cs="Times New Roman"/>
          <w:b/>
          <w:sz w:val="24"/>
          <w:szCs w:val="24"/>
        </w:rPr>
      </w:pPr>
      <w:r w:rsidRPr="002746FC">
        <w:rPr>
          <w:rFonts w:ascii="Times New Roman" w:eastAsia="Times New Roman" w:hAnsi="Times New Roman" w:cs="Times New Roman"/>
          <w:b/>
          <w:sz w:val="24"/>
          <w:szCs w:val="24"/>
        </w:rPr>
        <w:t>МЕДИКО-ТЕХНІЧНІ ВИМОГИ ДО ПРЕДМЕНТУ ЗАКУПІВЛІ</w:t>
      </w:r>
    </w:p>
    <w:p w14:paraId="5DCB9B81" w14:textId="77777777" w:rsidR="00DC5B61" w:rsidRPr="002746FC" w:rsidRDefault="00DC5B61" w:rsidP="00DC5B61">
      <w:pPr>
        <w:spacing w:after="0" w:line="240" w:lineRule="auto"/>
        <w:ind w:left="-567" w:firstLine="720"/>
        <w:jc w:val="center"/>
        <w:rPr>
          <w:rFonts w:ascii="Times New Roman" w:eastAsia="Times New Roman" w:hAnsi="Times New Roman" w:cs="Times New Roman"/>
          <w:b/>
          <w:sz w:val="24"/>
          <w:szCs w:val="24"/>
        </w:rPr>
      </w:pPr>
      <w:r w:rsidRPr="002746FC">
        <w:rPr>
          <w:rFonts w:ascii="Times New Roman" w:eastAsia="Times New Roman" w:hAnsi="Times New Roman" w:cs="Times New Roman"/>
          <w:b/>
          <w:sz w:val="24"/>
          <w:szCs w:val="24"/>
        </w:rPr>
        <w:t xml:space="preserve">CИСТЕМА ЛІКУВАННЯ НЕГАТИВНИМ ТИСКОМ З ВИТРАТНИМИ МАТЕРІАЛАМИ </w:t>
      </w:r>
    </w:p>
    <w:p w14:paraId="44267CFD" w14:textId="77777777" w:rsidR="004E60E7" w:rsidRPr="002746FC" w:rsidRDefault="004E60E7" w:rsidP="00086352">
      <w:pPr>
        <w:spacing w:after="0" w:line="240" w:lineRule="auto"/>
        <w:ind w:left="-567" w:firstLine="720"/>
        <w:jc w:val="center"/>
        <w:rPr>
          <w:rFonts w:ascii="Times New Roman" w:eastAsia="Times New Roman" w:hAnsi="Times New Roman" w:cs="Times New Roman"/>
          <w:b/>
          <w:sz w:val="24"/>
          <w:szCs w:val="24"/>
        </w:rPr>
      </w:pPr>
    </w:p>
    <w:p w14:paraId="2DEBFB12" w14:textId="77777777" w:rsidR="00086352" w:rsidRPr="002746FC" w:rsidRDefault="00086352" w:rsidP="00086352">
      <w:pPr>
        <w:spacing w:after="0" w:line="240" w:lineRule="auto"/>
        <w:jc w:val="center"/>
        <w:rPr>
          <w:rFonts w:ascii="Times New Roman" w:eastAsia="Times New Roman" w:hAnsi="Times New Roman" w:cs="Times New Roman"/>
        </w:rPr>
      </w:pPr>
      <w:r w:rsidRPr="002746FC">
        <w:rPr>
          <w:rFonts w:ascii="Times New Roman" w:eastAsia="Times New Roman" w:hAnsi="Times New Roman" w:cs="Times New Roman"/>
          <w:b/>
          <w:bCs/>
          <w:color w:val="000000"/>
        </w:rPr>
        <w:t>ЗАГАЛЬНІ ВИМОГИ </w:t>
      </w:r>
    </w:p>
    <w:p w14:paraId="510BA2E0" w14:textId="77777777" w:rsidR="00086352" w:rsidRPr="002746FC" w:rsidRDefault="00086352" w:rsidP="004E60E7">
      <w:pPr>
        <w:spacing w:after="0" w:line="240" w:lineRule="auto"/>
        <w:ind w:right="-2"/>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 </w:t>
      </w:r>
    </w:p>
    <w:p w14:paraId="46745433" w14:textId="77777777" w:rsidR="00086352" w:rsidRPr="002746FC" w:rsidRDefault="00086352" w:rsidP="00086352">
      <w:pPr>
        <w:spacing w:after="0" w:line="240" w:lineRule="auto"/>
        <w:ind w:left="709" w:right="-2" w:firstLine="1134"/>
        <w:rPr>
          <w:rFonts w:ascii="Times New Roman" w:eastAsia="Times New Roman" w:hAnsi="Times New Roman" w:cs="Times New Roman"/>
          <w:sz w:val="24"/>
          <w:szCs w:val="24"/>
          <w:lang w:eastAsia="ru-RU"/>
        </w:rPr>
      </w:pPr>
    </w:p>
    <w:p w14:paraId="77CF06C9" w14:textId="77777777"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 xml:space="preserve">Порівняльну таблицю  відповідності, за встановленою формою, предмета закупівлі медико-технічним характеристикам, </w:t>
      </w:r>
      <w:r w:rsidRPr="002746FC">
        <w:rPr>
          <w:rFonts w:ascii="Times New Roman" w:hAnsi="Times New Roman"/>
          <w:b/>
          <w:bCs/>
          <w:sz w:val="24"/>
          <w:szCs w:val="24"/>
          <w:lang w:val="uk-UA"/>
        </w:rPr>
        <w:t>в якій повинні бути зазначені відповідні сторінки документів</w:t>
      </w:r>
      <w:r w:rsidRPr="002746FC">
        <w:rPr>
          <w:rFonts w:ascii="Times New Roman" w:hAnsi="Times New Roman"/>
          <w:sz w:val="24"/>
          <w:szCs w:val="24"/>
          <w:lang w:val="uk-UA"/>
        </w:rPr>
        <w:t>, які учасник надає в складі пропозиції для підтвердження відповідності запропонованого товару заданим медико-технічним характеристикам. Такими документами можуть бути копія інструкції із застосування предмета закупівлі, та/або копія технічного паспорту, та/або технічного файлу (технічної документації). У наданих матеріалах обов’язково повинні бути виділені дані, що підтверджують відповідність заданим медико-технічним вимогам.</w:t>
      </w:r>
    </w:p>
    <w:p w14:paraId="5C443A30" w14:textId="77777777"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Копію декларації про відповідність предмета закупівлі вимогам відповідного Технічного регламенту.</w:t>
      </w:r>
    </w:p>
    <w:p w14:paraId="4079364E" w14:textId="77777777"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Копію сертифіката, що засвідчує відповідність предмета закупівлі вимогам Технічного регламенту, складеного з дотриманням процедур оцінки відповідності в разі посилання на них у відповідних Технічних регламентах.</w:t>
      </w:r>
    </w:p>
    <w:p w14:paraId="05251346" w14:textId="77777777"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Копію документації  по експлуатації  обладнання для медичного персоналу. У випадку, якщо документ викладений англійською чи іншою, відмінною від державної мови, надається переклад на українську мову.</w:t>
      </w:r>
    </w:p>
    <w:p w14:paraId="7A611C19" w14:textId="77777777"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 xml:space="preserve">Лист-підтвердження про наявність сервісного центру (власного або залученого на договірних умовах) з обслуговування обладнання в Україні. У випадку, якщо сервісний центр залучений на договірних умовах, Учасник додатково надає копії документів, що підтверджують правовідносини з такими сервісним центром (договори </w:t>
      </w:r>
      <w:proofErr w:type="spellStart"/>
      <w:r w:rsidRPr="002746FC">
        <w:rPr>
          <w:rFonts w:ascii="Times New Roman" w:hAnsi="Times New Roman"/>
          <w:sz w:val="24"/>
          <w:szCs w:val="24"/>
          <w:lang w:val="uk-UA"/>
        </w:rPr>
        <w:t>підряду</w:t>
      </w:r>
      <w:proofErr w:type="spellEnd"/>
      <w:r w:rsidRPr="002746FC">
        <w:rPr>
          <w:rFonts w:ascii="Times New Roman" w:hAnsi="Times New Roman"/>
          <w:sz w:val="24"/>
          <w:szCs w:val="24"/>
          <w:lang w:val="uk-UA"/>
        </w:rPr>
        <w:t>, надання послуг тощо).</w:t>
      </w:r>
    </w:p>
    <w:p w14:paraId="7A7FE9B5" w14:textId="4035E2FA"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 xml:space="preserve">Товар, запропонований Учасником, повинен бути новим, виготовленим </w:t>
      </w:r>
      <w:r w:rsidRPr="002746FC">
        <w:rPr>
          <w:rFonts w:ascii="Times New Roman" w:hAnsi="Times New Roman"/>
          <w:b/>
          <w:sz w:val="24"/>
          <w:szCs w:val="24"/>
          <w:lang w:val="uk-UA"/>
        </w:rPr>
        <w:t>не раніше 202</w:t>
      </w:r>
      <w:r w:rsidR="00BD7420" w:rsidRPr="002746FC">
        <w:rPr>
          <w:rFonts w:ascii="Times New Roman" w:hAnsi="Times New Roman"/>
          <w:b/>
          <w:sz w:val="24"/>
          <w:szCs w:val="24"/>
          <w:lang w:val="uk-UA"/>
        </w:rPr>
        <w:t>2</w:t>
      </w:r>
      <w:r w:rsidRPr="002746FC">
        <w:rPr>
          <w:rFonts w:ascii="Times New Roman" w:hAnsi="Times New Roman"/>
          <w:b/>
          <w:sz w:val="24"/>
          <w:szCs w:val="24"/>
          <w:lang w:val="uk-UA"/>
        </w:rPr>
        <w:t xml:space="preserve"> року,</w:t>
      </w:r>
      <w:r w:rsidRPr="002746FC">
        <w:rPr>
          <w:rFonts w:ascii="Times New Roman" w:hAnsi="Times New Roman"/>
          <w:sz w:val="24"/>
          <w:szCs w:val="24"/>
          <w:lang w:val="uk-UA"/>
        </w:rPr>
        <w:t xml:space="preserve"> а також таким, що не використовувався в якості демонстраційного зразку, про що Учасник надає гарантійний лист.</w:t>
      </w:r>
    </w:p>
    <w:p w14:paraId="1835C40F" w14:textId="77777777" w:rsidR="00086352" w:rsidRPr="002746FC" w:rsidRDefault="00086352" w:rsidP="004E60E7">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Гарантійний термін обслуговування повинен бути не менше 12 місяців з моменту складання акту введення в експлуатацію. Учасник надає гарантійний лист.</w:t>
      </w:r>
    </w:p>
    <w:p w14:paraId="30EB63E6" w14:textId="3DEC8700" w:rsidR="002746FC" w:rsidRPr="002746FC" w:rsidRDefault="00086352" w:rsidP="002746FC">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 xml:space="preserve">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або Технічного регламенту щодо медичних виробів для діагностики </w:t>
      </w:r>
      <w:proofErr w:type="spellStart"/>
      <w:r w:rsidRPr="002746FC">
        <w:rPr>
          <w:rFonts w:ascii="Times New Roman" w:hAnsi="Times New Roman"/>
          <w:sz w:val="24"/>
          <w:szCs w:val="24"/>
          <w:lang w:val="uk-UA"/>
        </w:rPr>
        <w:t>in</w:t>
      </w:r>
      <w:proofErr w:type="spellEnd"/>
      <w:r w:rsidRPr="002746FC">
        <w:rPr>
          <w:rFonts w:ascii="Times New Roman" w:hAnsi="Times New Roman"/>
          <w:sz w:val="24"/>
          <w:szCs w:val="24"/>
          <w:lang w:val="uk-UA"/>
        </w:rPr>
        <w:t xml:space="preserve"> </w:t>
      </w:r>
      <w:proofErr w:type="spellStart"/>
      <w:r w:rsidRPr="002746FC">
        <w:rPr>
          <w:rFonts w:ascii="Times New Roman" w:hAnsi="Times New Roman"/>
          <w:sz w:val="24"/>
          <w:szCs w:val="24"/>
          <w:lang w:val="uk-UA"/>
        </w:rPr>
        <w:t>vitro</w:t>
      </w:r>
      <w:proofErr w:type="spellEnd"/>
      <w:r w:rsidRPr="002746FC">
        <w:rPr>
          <w:rFonts w:ascii="Times New Roman" w:hAnsi="Times New Roman"/>
          <w:sz w:val="24"/>
          <w:szCs w:val="24"/>
          <w:lang w:val="uk-UA"/>
        </w:rPr>
        <w:t>, або Технічного регламенту щодо активних медичних виробів, які імплантують</w:t>
      </w:r>
      <w:r w:rsidR="002746FC">
        <w:rPr>
          <w:rFonts w:ascii="Times New Roman" w:hAnsi="Times New Roman"/>
          <w:sz w:val="24"/>
          <w:szCs w:val="24"/>
          <w:lang w:val="uk-UA"/>
        </w:rPr>
        <w:t xml:space="preserve">. </w:t>
      </w:r>
      <w:r w:rsidRPr="002746FC">
        <w:rPr>
          <w:rFonts w:ascii="Times New Roman" w:hAnsi="Times New Roman"/>
          <w:sz w:val="24"/>
          <w:szCs w:val="24"/>
          <w:lang w:val="uk-UA"/>
        </w:rPr>
        <w:t>Учасник має надати:</w:t>
      </w:r>
    </w:p>
    <w:p w14:paraId="49D2E438" w14:textId="77777777" w:rsidR="002746FC" w:rsidRPr="002746FC" w:rsidRDefault="00086352" w:rsidP="002746FC">
      <w:pPr>
        <w:pStyle w:val="afff"/>
        <w:numPr>
          <w:ilvl w:val="0"/>
          <w:numId w:val="7"/>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 xml:space="preserve">Лист учасника або інший документ, який підтверджує, що запропонований предмет закупівлі не є медичним виробом або допоміжним засобом до нього, медичним виробом для діагностики </w:t>
      </w:r>
      <w:proofErr w:type="spellStart"/>
      <w:r w:rsidRPr="002746FC">
        <w:rPr>
          <w:rFonts w:ascii="Times New Roman" w:hAnsi="Times New Roman"/>
          <w:sz w:val="24"/>
          <w:szCs w:val="24"/>
          <w:lang w:val="uk-UA"/>
        </w:rPr>
        <w:t>in</w:t>
      </w:r>
      <w:proofErr w:type="spellEnd"/>
      <w:r w:rsidRPr="002746FC">
        <w:rPr>
          <w:rFonts w:ascii="Times New Roman" w:hAnsi="Times New Roman"/>
          <w:sz w:val="24"/>
          <w:szCs w:val="24"/>
          <w:lang w:val="uk-UA"/>
        </w:rPr>
        <w:t xml:space="preserve"> </w:t>
      </w:r>
      <w:proofErr w:type="spellStart"/>
      <w:r w:rsidRPr="002746FC">
        <w:rPr>
          <w:rFonts w:ascii="Times New Roman" w:hAnsi="Times New Roman"/>
          <w:sz w:val="24"/>
          <w:szCs w:val="24"/>
          <w:lang w:val="uk-UA"/>
        </w:rPr>
        <w:t>vitro</w:t>
      </w:r>
      <w:proofErr w:type="spellEnd"/>
      <w:r w:rsidRPr="002746FC">
        <w:rPr>
          <w:rFonts w:ascii="Times New Roman" w:hAnsi="Times New Roman"/>
          <w:sz w:val="24"/>
          <w:szCs w:val="24"/>
          <w:lang w:val="uk-UA"/>
        </w:rPr>
        <w:t xml:space="preserve"> або допоміжним засобом до нього, активним медичним виробом, який імплантують у розумінні Технічного регламенту щодо медичних виробів, або Технічного регламенту щодо медичних виробів для діагностики </w:t>
      </w:r>
      <w:proofErr w:type="spellStart"/>
      <w:r w:rsidRPr="002746FC">
        <w:rPr>
          <w:rFonts w:ascii="Times New Roman" w:hAnsi="Times New Roman"/>
          <w:sz w:val="24"/>
          <w:szCs w:val="24"/>
          <w:lang w:val="uk-UA"/>
        </w:rPr>
        <w:t>in</w:t>
      </w:r>
      <w:proofErr w:type="spellEnd"/>
      <w:r w:rsidRPr="002746FC">
        <w:rPr>
          <w:rFonts w:ascii="Times New Roman" w:hAnsi="Times New Roman"/>
          <w:sz w:val="24"/>
          <w:szCs w:val="24"/>
          <w:lang w:val="uk-UA"/>
        </w:rPr>
        <w:t xml:space="preserve"> </w:t>
      </w:r>
      <w:proofErr w:type="spellStart"/>
      <w:r w:rsidRPr="002746FC">
        <w:rPr>
          <w:rFonts w:ascii="Times New Roman" w:hAnsi="Times New Roman"/>
          <w:sz w:val="24"/>
          <w:szCs w:val="24"/>
          <w:lang w:val="uk-UA"/>
        </w:rPr>
        <w:t>vitro</w:t>
      </w:r>
      <w:proofErr w:type="spellEnd"/>
      <w:r w:rsidRPr="002746FC">
        <w:rPr>
          <w:rFonts w:ascii="Times New Roman" w:hAnsi="Times New Roman"/>
          <w:sz w:val="24"/>
          <w:szCs w:val="24"/>
          <w:lang w:val="uk-UA"/>
        </w:rPr>
        <w:t>, або Технічного регламенту щодо активних медичних виробів, які імплантують;</w:t>
      </w:r>
    </w:p>
    <w:p w14:paraId="69BB23D7" w14:textId="2ED2033C" w:rsidR="00086352" w:rsidRPr="002746FC" w:rsidRDefault="00086352" w:rsidP="002746FC">
      <w:pPr>
        <w:pStyle w:val="afff"/>
        <w:numPr>
          <w:ilvl w:val="0"/>
          <w:numId w:val="7"/>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p w14:paraId="4B5AE57E" w14:textId="77777777" w:rsidR="00086352" w:rsidRPr="002746FC" w:rsidRDefault="00086352" w:rsidP="002746FC">
      <w:pPr>
        <w:pStyle w:val="afff"/>
        <w:numPr>
          <w:ilvl w:val="0"/>
          <w:numId w:val="6"/>
        </w:numPr>
        <w:spacing w:line="240" w:lineRule="auto"/>
        <w:ind w:left="0" w:firstLine="567"/>
        <w:jc w:val="both"/>
        <w:rPr>
          <w:rFonts w:ascii="Times New Roman" w:hAnsi="Times New Roman"/>
          <w:sz w:val="24"/>
          <w:szCs w:val="24"/>
          <w:lang w:val="uk-UA"/>
        </w:rPr>
      </w:pPr>
      <w:r w:rsidRPr="002746FC">
        <w:rPr>
          <w:rFonts w:ascii="Times New Roman" w:hAnsi="Times New Roman"/>
          <w:sz w:val="24"/>
          <w:szCs w:val="24"/>
          <w:lang w:val="uk-UA"/>
        </w:rPr>
        <w:t>Копію документації  з експлуатації.</w:t>
      </w:r>
    </w:p>
    <w:p w14:paraId="7922EC4F" w14:textId="77777777" w:rsidR="00086352" w:rsidRPr="002746FC" w:rsidRDefault="00086352" w:rsidP="00086352">
      <w:pPr>
        <w:spacing w:after="0" w:line="240" w:lineRule="auto"/>
        <w:ind w:left="-567" w:firstLine="425"/>
        <w:jc w:val="both"/>
        <w:rPr>
          <w:rFonts w:ascii="Times New Roman" w:hAnsi="Times New Roman" w:cs="Times New Roman"/>
          <w:b/>
          <w:bCs/>
          <w:sz w:val="24"/>
          <w:szCs w:val="24"/>
        </w:rPr>
      </w:pPr>
    </w:p>
    <w:p w14:paraId="30C350CD" w14:textId="6A3E2FAA" w:rsidR="00A867CD" w:rsidRDefault="00A867CD" w:rsidP="00086352">
      <w:pPr>
        <w:spacing w:after="0" w:line="240" w:lineRule="auto"/>
        <w:ind w:left="-567" w:firstLine="425"/>
        <w:jc w:val="both"/>
        <w:rPr>
          <w:rFonts w:ascii="Times New Roman" w:hAnsi="Times New Roman" w:cs="Times New Roman"/>
          <w:b/>
          <w:bCs/>
          <w:sz w:val="24"/>
          <w:szCs w:val="24"/>
        </w:rPr>
      </w:pPr>
    </w:p>
    <w:p w14:paraId="6EB77D99" w14:textId="105A458E" w:rsidR="00025CE8" w:rsidRDefault="00025CE8" w:rsidP="00086352">
      <w:pPr>
        <w:spacing w:after="0" w:line="240" w:lineRule="auto"/>
        <w:ind w:left="-567" w:firstLine="425"/>
        <w:jc w:val="both"/>
        <w:rPr>
          <w:rFonts w:ascii="Times New Roman" w:hAnsi="Times New Roman" w:cs="Times New Roman"/>
          <w:b/>
          <w:bCs/>
          <w:sz w:val="24"/>
          <w:szCs w:val="24"/>
        </w:rPr>
      </w:pPr>
    </w:p>
    <w:p w14:paraId="722B0C82" w14:textId="788BD2B5" w:rsidR="00025CE8" w:rsidRDefault="00025CE8" w:rsidP="00086352">
      <w:pPr>
        <w:spacing w:after="0" w:line="240" w:lineRule="auto"/>
        <w:ind w:left="-567" w:firstLine="425"/>
        <w:jc w:val="both"/>
        <w:rPr>
          <w:rFonts w:ascii="Times New Roman" w:hAnsi="Times New Roman" w:cs="Times New Roman"/>
          <w:b/>
          <w:bCs/>
          <w:sz w:val="24"/>
          <w:szCs w:val="24"/>
        </w:rPr>
      </w:pPr>
    </w:p>
    <w:p w14:paraId="271F50C8" w14:textId="77777777" w:rsidR="00025CE8" w:rsidRDefault="00025CE8" w:rsidP="00086352">
      <w:pPr>
        <w:spacing w:after="0" w:line="240" w:lineRule="auto"/>
        <w:ind w:left="-567" w:firstLine="425"/>
        <w:jc w:val="both"/>
        <w:rPr>
          <w:rFonts w:ascii="Times New Roman" w:hAnsi="Times New Roman" w:cs="Times New Roman"/>
          <w:b/>
          <w:bCs/>
          <w:sz w:val="24"/>
          <w:szCs w:val="24"/>
        </w:rPr>
      </w:pPr>
    </w:p>
    <w:p w14:paraId="1BF995BC" w14:textId="522F9D3D" w:rsidR="00086352" w:rsidRPr="002746FC" w:rsidRDefault="00086352" w:rsidP="00086352">
      <w:pPr>
        <w:spacing w:after="0" w:line="240" w:lineRule="auto"/>
        <w:ind w:left="-567" w:firstLine="720"/>
        <w:jc w:val="center"/>
        <w:rPr>
          <w:rFonts w:ascii="Times New Roman" w:eastAsia="Times New Roman" w:hAnsi="Times New Roman" w:cs="Times New Roman"/>
          <w:b/>
          <w:sz w:val="24"/>
          <w:szCs w:val="24"/>
        </w:rPr>
      </w:pPr>
      <w:r w:rsidRPr="002746FC">
        <w:rPr>
          <w:rFonts w:ascii="Times New Roman" w:eastAsia="Times New Roman" w:hAnsi="Times New Roman" w:cs="Times New Roman"/>
          <w:b/>
          <w:sz w:val="24"/>
          <w:szCs w:val="24"/>
        </w:rPr>
        <w:lastRenderedPageBreak/>
        <w:t>МЕДИКО-ТЕХНІЧНІ ВИМОГИ ДО ПРЕДМЕНТУ ЗАКУПІВЛІ</w:t>
      </w:r>
    </w:p>
    <w:p w14:paraId="00503DB9" w14:textId="312A2A1C" w:rsidR="002746FC" w:rsidRPr="002746FC" w:rsidRDefault="002746FC" w:rsidP="002746FC">
      <w:pPr>
        <w:spacing w:after="0" w:line="240" w:lineRule="auto"/>
        <w:ind w:left="-567" w:firstLine="720"/>
        <w:jc w:val="center"/>
        <w:rPr>
          <w:rFonts w:ascii="Times New Roman" w:eastAsia="Times New Roman" w:hAnsi="Times New Roman" w:cs="Times New Roman"/>
          <w:b/>
          <w:sz w:val="24"/>
          <w:szCs w:val="24"/>
        </w:rPr>
      </w:pPr>
      <w:r w:rsidRPr="002746FC">
        <w:rPr>
          <w:rFonts w:ascii="Times New Roman" w:eastAsia="Times New Roman" w:hAnsi="Times New Roman" w:cs="Times New Roman"/>
          <w:b/>
          <w:sz w:val="24"/>
          <w:szCs w:val="24"/>
        </w:rPr>
        <w:t>CИСТЕМА</w:t>
      </w:r>
      <w:r w:rsidRPr="002746FC">
        <w:rPr>
          <w:rFonts w:ascii="Times New Roman" w:eastAsia="Times New Roman" w:hAnsi="Times New Roman" w:cs="Times New Roman"/>
          <w:b/>
          <w:sz w:val="24"/>
          <w:szCs w:val="24"/>
        </w:rPr>
        <w:t xml:space="preserve"> </w:t>
      </w:r>
      <w:r w:rsidRPr="002746FC">
        <w:rPr>
          <w:rFonts w:ascii="Times New Roman" w:eastAsia="Times New Roman" w:hAnsi="Times New Roman" w:cs="Times New Roman"/>
          <w:b/>
          <w:sz w:val="24"/>
          <w:szCs w:val="24"/>
        </w:rPr>
        <w:t xml:space="preserve">ЛІКУВАННЯ НЕГАТИВНИМ ТИСКОМ З ВИТРАТНИМИ МАТЕРІАЛАМИ </w:t>
      </w:r>
    </w:p>
    <w:p w14:paraId="6F341C2D" w14:textId="77777777" w:rsidR="00086352" w:rsidRPr="002746FC" w:rsidRDefault="00086352" w:rsidP="00086352">
      <w:pPr>
        <w:spacing w:after="0" w:line="240" w:lineRule="auto"/>
        <w:ind w:left="-567" w:firstLine="720"/>
        <w:jc w:val="center"/>
        <w:rPr>
          <w:rFonts w:ascii="Times New Roman" w:eastAsia="Times New Roman" w:hAnsi="Times New Roman" w:cs="Times New Roman"/>
          <w:b/>
          <w:sz w:val="24"/>
          <w:szCs w:val="24"/>
        </w:rPr>
      </w:pPr>
    </w:p>
    <w:tbl>
      <w:tblPr>
        <w:tblW w:w="9907" w:type="dxa"/>
        <w:tblCellMar>
          <w:left w:w="0" w:type="dxa"/>
          <w:right w:w="0" w:type="dxa"/>
        </w:tblCellMar>
        <w:tblLook w:val="04A0" w:firstRow="1" w:lastRow="0" w:firstColumn="1" w:lastColumn="0" w:noHBand="0" w:noVBand="1"/>
      </w:tblPr>
      <w:tblGrid>
        <w:gridCol w:w="390"/>
        <w:gridCol w:w="7566"/>
        <w:gridCol w:w="1951"/>
      </w:tblGrid>
      <w:tr w:rsidR="00086352" w:rsidRPr="002746FC" w14:paraId="6EF0F447" w14:textId="77777777" w:rsidTr="00B9172E">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29E322"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14:paraId="0AFB61B4" w14:textId="77777777" w:rsidR="00086352" w:rsidRPr="002746FC" w:rsidRDefault="00086352" w:rsidP="00B9172E">
            <w:pPr>
              <w:spacing w:after="0" w:line="240" w:lineRule="auto"/>
              <w:rPr>
                <w:rFonts w:ascii="Times New Roman" w:eastAsia="Times New Roman" w:hAnsi="Times New Roman" w:cs="Times New Roman"/>
                <w:b/>
                <w:bCs/>
                <w:sz w:val="24"/>
                <w:szCs w:val="24"/>
                <w:lang w:eastAsia="ru-RU"/>
              </w:rPr>
            </w:pPr>
            <w:r w:rsidRPr="002746FC">
              <w:rPr>
                <w:rFonts w:ascii="Times New Roman" w:eastAsia="Times New Roman" w:hAnsi="Times New Roman" w:cs="Times New Roman"/>
                <w:b/>
                <w:bCs/>
                <w:sz w:val="24"/>
                <w:szCs w:val="24"/>
                <w:lang w:eastAsia="ru-RU"/>
              </w:rPr>
              <w:t>ТЕХНІЧНІ ВИМОГИ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FDB67" w14:textId="77777777" w:rsidR="00086352" w:rsidRPr="002746FC" w:rsidRDefault="00086352" w:rsidP="00B9172E">
            <w:pPr>
              <w:spacing w:after="0" w:line="240" w:lineRule="auto"/>
              <w:jc w:val="center"/>
              <w:rPr>
                <w:rFonts w:ascii="Times New Roman" w:eastAsia="Times New Roman" w:hAnsi="Times New Roman" w:cs="Times New Roman"/>
                <w:b/>
                <w:bCs/>
                <w:sz w:val="24"/>
                <w:szCs w:val="24"/>
                <w:lang w:eastAsia="ru-RU"/>
              </w:rPr>
            </w:pPr>
            <w:r w:rsidRPr="002746FC">
              <w:rPr>
                <w:rFonts w:ascii="Times New Roman" w:eastAsia="Times New Roman" w:hAnsi="Times New Roman" w:cs="Times New Roman"/>
                <w:b/>
                <w:bCs/>
                <w:sz w:val="24"/>
                <w:szCs w:val="24"/>
                <w:lang w:eastAsia="ru-RU"/>
              </w:rPr>
              <w:t>Відповідність</w:t>
            </w:r>
          </w:p>
        </w:tc>
      </w:tr>
      <w:tr w:rsidR="00086352" w:rsidRPr="002746FC" w14:paraId="22320EBD"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D83D48"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B3C5C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Прилад повинен призначатися для лікування (терапії) ран негативним тиском.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B830B9"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3BE8BCEE"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6C20DA"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35543D"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Прилад повинен бути багаторазового використання.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ED8A8B"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463F1A57"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4C668"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C7CB7"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Наявність дисплею для відображення налаштувань терапії.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2958C3"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Наявність</w:t>
            </w:r>
          </w:p>
        </w:tc>
      </w:tr>
      <w:tr w:rsidR="00086352" w:rsidRPr="002746FC" w14:paraId="3D2D9CB0"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E24BDA"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84D8A3"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Режими роботи пристрою: постійний тиск (безперервний режим) та змінний тиск (переривчастий режим).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77DB87"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107644C9" w14:textId="77777777" w:rsidTr="00B9172E">
        <w:trPr>
          <w:trHeight w:val="67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E0F331"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DE5DD0"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 xml:space="preserve">Мінімальна верхня границя рівня тиску не більше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C1EB8D"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 xml:space="preserve">-40 мм </w:t>
            </w:r>
            <w:proofErr w:type="spellStart"/>
            <w:r w:rsidRPr="002746FC">
              <w:rPr>
                <w:rFonts w:ascii="Times New Roman" w:eastAsia="Times New Roman" w:hAnsi="Times New Roman" w:cs="Times New Roman"/>
                <w:sz w:val="24"/>
                <w:szCs w:val="24"/>
                <w:lang w:eastAsia="ru-RU"/>
              </w:rPr>
              <w:t>рт.ст</w:t>
            </w:r>
            <w:proofErr w:type="spellEnd"/>
            <w:r w:rsidRPr="002746FC">
              <w:rPr>
                <w:rFonts w:ascii="Times New Roman" w:eastAsia="Times New Roman" w:hAnsi="Times New Roman" w:cs="Times New Roman"/>
                <w:sz w:val="24"/>
                <w:szCs w:val="24"/>
                <w:lang w:eastAsia="ru-RU"/>
              </w:rPr>
              <w:t xml:space="preserve"> включно (-∞;-40]</w:t>
            </w:r>
          </w:p>
        </w:tc>
      </w:tr>
      <w:tr w:rsidR="00086352" w:rsidRPr="002746FC" w14:paraId="1EC158F8"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98E37"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F119A7D"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Мінімальна нижня границя рівня тиску не більше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1608453"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 xml:space="preserve">-180 мм </w:t>
            </w:r>
            <w:proofErr w:type="spellStart"/>
            <w:r w:rsidRPr="002746FC">
              <w:rPr>
                <w:rFonts w:ascii="Times New Roman" w:eastAsia="Times New Roman" w:hAnsi="Times New Roman" w:cs="Times New Roman"/>
                <w:sz w:val="24"/>
                <w:szCs w:val="24"/>
                <w:lang w:eastAsia="ru-RU"/>
              </w:rPr>
              <w:t>рт.ст</w:t>
            </w:r>
            <w:proofErr w:type="spellEnd"/>
            <w:r w:rsidRPr="002746FC">
              <w:rPr>
                <w:rFonts w:ascii="Times New Roman" w:eastAsia="Times New Roman" w:hAnsi="Times New Roman" w:cs="Times New Roman"/>
                <w:sz w:val="24"/>
                <w:szCs w:val="24"/>
                <w:lang w:eastAsia="ru-RU"/>
              </w:rPr>
              <w:t xml:space="preserve"> включно (-∞;-180]</w:t>
            </w:r>
          </w:p>
        </w:tc>
      </w:tr>
      <w:tr w:rsidR="00086352" w:rsidRPr="002746FC" w14:paraId="604A09EC"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7EDC76"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DC87CF"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Наявність акумуляторної батареї для автономної роботи.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531498"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Наявність</w:t>
            </w:r>
          </w:p>
        </w:tc>
      </w:tr>
      <w:tr w:rsidR="00086352" w:rsidRPr="002746FC" w14:paraId="499B92B1"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6B8292"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7CDABB"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 xml:space="preserve">Можливість роботи від акумулятора не менше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DFFA8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4 години</w:t>
            </w:r>
          </w:p>
        </w:tc>
      </w:tr>
      <w:tr w:rsidR="00086352" w:rsidRPr="002746FC" w14:paraId="669E8C0D"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57753A"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39259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 xml:space="preserve">Наявність системи сповіщень: про витік тиску, про </w:t>
            </w:r>
            <w:proofErr w:type="spellStart"/>
            <w:r w:rsidRPr="002746FC">
              <w:rPr>
                <w:rFonts w:ascii="Times New Roman" w:eastAsia="Times New Roman" w:hAnsi="Times New Roman" w:cs="Times New Roman"/>
                <w:sz w:val="24"/>
                <w:szCs w:val="24"/>
                <w:lang w:eastAsia="ru-RU"/>
              </w:rPr>
              <w:t>заповненість</w:t>
            </w:r>
            <w:proofErr w:type="spellEnd"/>
            <w:r w:rsidRPr="002746FC">
              <w:rPr>
                <w:rFonts w:ascii="Times New Roman" w:eastAsia="Times New Roman" w:hAnsi="Times New Roman" w:cs="Times New Roman"/>
                <w:sz w:val="24"/>
                <w:szCs w:val="24"/>
                <w:lang w:eastAsia="ru-RU"/>
              </w:rPr>
              <w:t xml:space="preserve"> ємності, про низький заряд акумулятора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964AF1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Наявність</w:t>
            </w:r>
          </w:p>
        </w:tc>
      </w:tr>
      <w:tr w:rsidR="00086352" w:rsidRPr="002746FC" w14:paraId="56B97CCA"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6FC87B"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6AF6E4"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Можливість встановлення на прилад Y-перехідника для підключення двох пов'язок. (має бути в комплекті -в інструкції, або гарантійний лист до комплектації)</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48E6B5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5F333289"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F53F74" w14:textId="65C399A8"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r w:rsidR="00154307" w:rsidRPr="002746FC">
              <w:rPr>
                <w:rFonts w:ascii="Times New Roman" w:eastAsia="Times New Roman" w:hAnsi="Times New Roman" w:cs="Times New Roman"/>
                <w:sz w:val="24"/>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901875"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Можливість керування налаштуваннями та роботою приладу через сенсорний екран та/або клавіатуру.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07401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60A99AB3" w14:textId="77777777" w:rsidTr="00B9172E">
        <w:trPr>
          <w:trHeight w:val="285"/>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0E4AB97" w14:textId="13BDBC6D"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r w:rsidR="00154307" w:rsidRPr="002746F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0F97B02D"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Доставка, встановлення (монтаж), налагодження, тестування Товару (у разі готовності кінцевого набувача до використання Товару) та навчання медичного персоналу кінцевого набувача методам роботи за рахунок постачальника (надати гарантійний лист у довільній формі)</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494E6C9D"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14B31BE0" w14:textId="77777777" w:rsidTr="00B9172E">
        <w:trPr>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A0B2CC"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0F819EB" w14:textId="77777777" w:rsidR="00086352" w:rsidRPr="002746FC" w:rsidRDefault="00086352" w:rsidP="00B9172E">
            <w:pPr>
              <w:spacing w:after="0" w:line="240" w:lineRule="auto"/>
              <w:rPr>
                <w:rFonts w:ascii="Times New Roman" w:eastAsia="Times New Roman" w:hAnsi="Times New Roman" w:cs="Times New Roman"/>
                <w:b/>
                <w:bCs/>
                <w:sz w:val="24"/>
                <w:szCs w:val="24"/>
                <w:lang w:eastAsia="ru-RU"/>
              </w:rPr>
            </w:pPr>
            <w:r w:rsidRPr="002746FC">
              <w:rPr>
                <w:rFonts w:ascii="Times New Roman" w:eastAsia="Times New Roman" w:hAnsi="Times New Roman" w:cs="Times New Roman"/>
                <w:b/>
                <w:bCs/>
                <w:sz w:val="24"/>
                <w:szCs w:val="24"/>
                <w:lang w:eastAsia="ru-RU"/>
              </w:rPr>
              <w:t>ВИМОГИ ДО ВИТРАТНОГО МАТЕРІАЛУ</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9073619"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p>
        </w:tc>
      </w:tr>
      <w:tr w:rsidR="00086352" w:rsidRPr="002746FC" w14:paraId="3C6D653D" w14:textId="77777777" w:rsidTr="00B9172E">
        <w:trPr>
          <w:trHeight w:val="285"/>
        </w:trPr>
        <w:tc>
          <w:tcPr>
            <w:tcW w:w="0" w:type="auto"/>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411C18"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0209DC" w14:textId="6D94D48D" w:rsidR="00025CE8" w:rsidRDefault="00025CE8" w:rsidP="00B917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9701D" w:rsidRPr="002746FC">
              <w:rPr>
                <w:rFonts w:ascii="Times New Roman" w:eastAsia="Times New Roman" w:hAnsi="Times New Roman" w:cs="Times New Roman"/>
                <w:sz w:val="24"/>
                <w:szCs w:val="24"/>
                <w:lang w:eastAsia="ru-RU"/>
              </w:rPr>
              <w:t>абір для вакуумного закриття ран</w:t>
            </w:r>
            <w:r w:rsidR="00086352" w:rsidRPr="002746FC">
              <w:rPr>
                <w:rFonts w:ascii="Times New Roman" w:eastAsia="Times New Roman" w:hAnsi="Times New Roman" w:cs="Times New Roman"/>
                <w:sz w:val="24"/>
                <w:szCs w:val="24"/>
                <w:lang w:eastAsia="ru-RU"/>
              </w:rPr>
              <w:t>, повинен мати:</w:t>
            </w:r>
            <w:r w:rsidR="00086352" w:rsidRPr="002746FC">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бути гідрофобним (не розсмоктуватись)</w:t>
            </w:r>
            <w:bookmarkStart w:id="0" w:name="_GoBack"/>
            <w:bookmarkEnd w:id="0"/>
          </w:p>
          <w:p w14:paraId="7ADF95A3" w14:textId="1C098F5A" w:rsidR="00086352" w:rsidRPr="00DC5B61" w:rsidRDefault="00025CE8" w:rsidP="00B9172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гідрофільну </w:t>
            </w:r>
            <w:r w:rsidR="00086352" w:rsidRPr="002746FC">
              <w:rPr>
                <w:rFonts w:ascii="Times New Roman" w:eastAsia="Times New Roman" w:hAnsi="Times New Roman" w:cs="Times New Roman"/>
                <w:sz w:val="24"/>
                <w:szCs w:val="24"/>
                <w:lang w:eastAsia="ru-RU"/>
              </w:rPr>
              <w:t xml:space="preserve">губка для видалення ексудату; </w:t>
            </w:r>
            <w:r w:rsidR="00086352" w:rsidRPr="002746FC">
              <w:rPr>
                <w:rFonts w:ascii="Times New Roman" w:eastAsia="Times New Roman" w:hAnsi="Times New Roman" w:cs="Times New Roman"/>
                <w:sz w:val="24"/>
                <w:szCs w:val="24"/>
                <w:lang w:eastAsia="ru-RU"/>
              </w:rPr>
              <w:br/>
              <w:t xml:space="preserve">- прозора ізолююча плівка; </w:t>
            </w:r>
            <w:r w:rsidR="00086352" w:rsidRPr="002746FC">
              <w:rPr>
                <w:rFonts w:ascii="Times New Roman" w:eastAsia="Times New Roman" w:hAnsi="Times New Roman" w:cs="Times New Roman"/>
                <w:sz w:val="24"/>
                <w:szCs w:val="24"/>
                <w:lang w:eastAsia="ru-RU"/>
              </w:rPr>
              <w:br/>
              <w:t xml:space="preserve">- м'який порт з можливістю під'єднання до </w:t>
            </w:r>
            <w:r w:rsidR="00C9701D">
              <w:rPr>
                <w:rFonts w:ascii="Times New Roman" w:eastAsia="Times New Roman" w:hAnsi="Times New Roman" w:cs="Times New Roman"/>
                <w:sz w:val="24"/>
                <w:szCs w:val="24"/>
                <w:lang w:eastAsia="ru-RU"/>
              </w:rPr>
              <w:t>систему</w:t>
            </w:r>
            <w:r w:rsidR="00086352" w:rsidRPr="002746FC">
              <w:rPr>
                <w:rFonts w:ascii="Times New Roman" w:eastAsia="Times New Roman" w:hAnsi="Times New Roman" w:cs="Times New Roman"/>
                <w:sz w:val="24"/>
                <w:szCs w:val="24"/>
                <w:lang w:eastAsia="ru-RU"/>
              </w:rPr>
              <w:t xml:space="preserve"> лікування ран негативним тиском</w:t>
            </w:r>
            <w:r w:rsidR="00DC5B61">
              <w:rPr>
                <w:rFonts w:ascii="Times New Roman" w:eastAsia="Times New Roman" w:hAnsi="Times New Roman" w:cs="Times New Roman"/>
                <w:sz w:val="24"/>
                <w:szCs w:val="24"/>
                <w:lang w:val="en-US" w:eastAsia="ru-RU"/>
              </w:rPr>
              <w:t>;</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7C9502"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04108968"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D1A436"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E908C1" w14:textId="77777777" w:rsidR="00C9701D"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 xml:space="preserve">В комплекті наявні </w:t>
            </w:r>
            <w:r w:rsidR="00C9701D">
              <w:rPr>
                <w:rFonts w:ascii="Times New Roman" w:eastAsia="Times New Roman" w:hAnsi="Times New Roman" w:cs="Times New Roman"/>
                <w:sz w:val="24"/>
                <w:szCs w:val="24"/>
                <w:lang w:eastAsia="ru-RU"/>
              </w:rPr>
              <w:t>н</w:t>
            </w:r>
            <w:r w:rsidR="00C9701D" w:rsidRPr="002746FC">
              <w:rPr>
                <w:rFonts w:ascii="Times New Roman" w:eastAsia="Times New Roman" w:hAnsi="Times New Roman" w:cs="Times New Roman"/>
                <w:sz w:val="24"/>
                <w:szCs w:val="24"/>
                <w:lang w:eastAsia="ru-RU"/>
              </w:rPr>
              <w:t>аб</w:t>
            </w:r>
            <w:r w:rsidR="00C9701D">
              <w:rPr>
                <w:rFonts w:ascii="Times New Roman" w:eastAsia="Times New Roman" w:hAnsi="Times New Roman" w:cs="Times New Roman"/>
                <w:sz w:val="24"/>
                <w:szCs w:val="24"/>
                <w:lang w:eastAsia="ru-RU"/>
              </w:rPr>
              <w:t>ори</w:t>
            </w:r>
            <w:r w:rsidR="00C9701D" w:rsidRPr="002746FC">
              <w:rPr>
                <w:rFonts w:ascii="Times New Roman" w:eastAsia="Times New Roman" w:hAnsi="Times New Roman" w:cs="Times New Roman"/>
                <w:sz w:val="24"/>
                <w:szCs w:val="24"/>
                <w:lang w:eastAsia="ru-RU"/>
              </w:rPr>
              <w:t xml:space="preserve"> для вакуумного закриття ран</w:t>
            </w:r>
            <w:r w:rsidRPr="002746FC">
              <w:rPr>
                <w:rFonts w:ascii="Times New Roman" w:eastAsia="Times New Roman" w:hAnsi="Times New Roman" w:cs="Times New Roman"/>
                <w:sz w:val="24"/>
                <w:szCs w:val="24"/>
                <w:lang w:eastAsia="ru-RU"/>
              </w:rPr>
              <w:t xml:space="preserve">, великий </w:t>
            </w:r>
          </w:p>
          <w:p w14:paraId="4495774B" w14:textId="180BCA95" w:rsidR="00086352" w:rsidRPr="00DC5B61" w:rsidRDefault="00086352" w:rsidP="00B9172E">
            <w:pPr>
              <w:spacing w:after="0" w:line="240" w:lineRule="auto"/>
              <w:rPr>
                <w:rFonts w:ascii="Times New Roman" w:eastAsia="Times New Roman" w:hAnsi="Times New Roman" w:cs="Times New Roman"/>
                <w:sz w:val="24"/>
                <w:szCs w:val="24"/>
                <w:lang w:val="en-US" w:eastAsia="ru-RU"/>
              </w:rPr>
            </w:pPr>
            <w:r w:rsidRPr="002746FC">
              <w:rPr>
                <w:rFonts w:ascii="Times New Roman" w:eastAsia="Times New Roman" w:hAnsi="Times New Roman" w:cs="Times New Roman"/>
                <w:sz w:val="24"/>
                <w:szCs w:val="24"/>
                <w:lang w:eastAsia="ru-RU"/>
              </w:rPr>
              <w:t>розмір</w:t>
            </w:r>
            <w:r w:rsidR="00DC5B61">
              <w:rPr>
                <w:rFonts w:ascii="Times New Roman" w:eastAsia="Times New Roman" w:hAnsi="Times New Roman" w:cs="Times New Roman"/>
                <w:sz w:val="24"/>
                <w:szCs w:val="24"/>
                <w:lang w:val="en-US" w:eastAsia="ru-RU"/>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50E639F"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C9701D" w:rsidRPr="002746FC" w14:paraId="0E53437B"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740891" w14:textId="77777777" w:rsidR="00C9701D" w:rsidRPr="002746FC" w:rsidRDefault="00C9701D" w:rsidP="00C9701D">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79557A" w14:textId="2386F4E0" w:rsidR="00C9701D" w:rsidRPr="00DC5B61" w:rsidRDefault="00C9701D" w:rsidP="00C9701D">
            <w:pPr>
              <w:spacing w:after="0" w:line="240" w:lineRule="auto"/>
              <w:rPr>
                <w:rFonts w:ascii="Times New Roman" w:eastAsia="Times New Roman" w:hAnsi="Times New Roman" w:cs="Times New Roman"/>
                <w:sz w:val="24"/>
                <w:szCs w:val="24"/>
                <w:lang w:val="ru-RU" w:eastAsia="ru-RU"/>
              </w:rPr>
            </w:pPr>
            <w:r w:rsidRPr="002746FC">
              <w:rPr>
                <w:rFonts w:ascii="Times New Roman" w:eastAsia="Times New Roman" w:hAnsi="Times New Roman" w:cs="Times New Roman"/>
                <w:sz w:val="24"/>
                <w:szCs w:val="24"/>
                <w:lang w:eastAsia="ru-RU"/>
              </w:rPr>
              <w:t xml:space="preserve">В комплекті наявні </w:t>
            </w:r>
            <w:r>
              <w:rPr>
                <w:rFonts w:ascii="Times New Roman" w:eastAsia="Times New Roman" w:hAnsi="Times New Roman" w:cs="Times New Roman"/>
                <w:sz w:val="24"/>
                <w:szCs w:val="24"/>
                <w:lang w:eastAsia="ru-RU"/>
              </w:rPr>
              <w:t>н</w:t>
            </w:r>
            <w:r w:rsidRPr="002746FC">
              <w:rPr>
                <w:rFonts w:ascii="Times New Roman" w:eastAsia="Times New Roman" w:hAnsi="Times New Roman" w:cs="Times New Roman"/>
                <w:sz w:val="24"/>
                <w:szCs w:val="24"/>
                <w:lang w:eastAsia="ru-RU"/>
              </w:rPr>
              <w:t>аб</w:t>
            </w:r>
            <w:r>
              <w:rPr>
                <w:rFonts w:ascii="Times New Roman" w:eastAsia="Times New Roman" w:hAnsi="Times New Roman" w:cs="Times New Roman"/>
                <w:sz w:val="24"/>
                <w:szCs w:val="24"/>
                <w:lang w:eastAsia="ru-RU"/>
              </w:rPr>
              <w:t>ори</w:t>
            </w:r>
            <w:r w:rsidRPr="002746FC">
              <w:rPr>
                <w:rFonts w:ascii="Times New Roman" w:eastAsia="Times New Roman" w:hAnsi="Times New Roman" w:cs="Times New Roman"/>
                <w:sz w:val="24"/>
                <w:szCs w:val="24"/>
                <w:lang w:eastAsia="ru-RU"/>
              </w:rPr>
              <w:t xml:space="preserve"> для вакуумного закриття ран, </w:t>
            </w:r>
            <w:r>
              <w:rPr>
                <w:rFonts w:ascii="Times New Roman" w:eastAsia="Times New Roman" w:hAnsi="Times New Roman" w:cs="Times New Roman"/>
                <w:sz w:val="24"/>
                <w:szCs w:val="24"/>
                <w:lang w:eastAsia="ru-RU"/>
              </w:rPr>
              <w:t>середній</w:t>
            </w:r>
            <w:r w:rsidRPr="002746FC">
              <w:rPr>
                <w:rFonts w:ascii="Times New Roman" w:eastAsia="Times New Roman" w:hAnsi="Times New Roman" w:cs="Times New Roman"/>
                <w:sz w:val="24"/>
                <w:szCs w:val="24"/>
                <w:lang w:eastAsia="ru-RU"/>
              </w:rPr>
              <w:t xml:space="preserve"> розмір</w:t>
            </w:r>
            <w:r w:rsidR="00DC5B61" w:rsidRPr="00DC5B61">
              <w:rPr>
                <w:rFonts w:ascii="Times New Roman" w:eastAsia="Times New Roman" w:hAnsi="Times New Roman" w:cs="Times New Roman"/>
                <w:sz w:val="24"/>
                <w:szCs w:val="24"/>
                <w:lang w:val="ru-RU" w:eastAsia="ru-RU"/>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0D10902" w14:textId="77777777" w:rsidR="00C9701D" w:rsidRPr="002746FC" w:rsidRDefault="00C9701D" w:rsidP="00C9701D">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5B3460AA" w14:textId="77777777" w:rsidTr="00B9172E">
        <w:trPr>
          <w:trHeight w:val="285"/>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2B50908A" w14:textId="77777777"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4</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CC5C337" w14:textId="4799A834"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Можливість під'єднання ємності (каністри) для ексудату 800 мл</w:t>
            </w:r>
            <w:r w:rsidR="002746FC" w:rsidRPr="002746FC">
              <w:rPr>
                <w:rFonts w:ascii="Times New Roman" w:eastAsia="Times New Roman" w:hAnsi="Times New Roman" w:cs="Times New Roman"/>
                <w:sz w:val="24"/>
                <w:szCs w:val="24"/>
                <w:lang w:eastAsia="ru-RU"/>
              </w:rPr>
              <w:t xml:space="preserve"> – 1000 мл </w:t>
            </w:r>
            <w:r w:rsidRPr="002746FC">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F00F3"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Відповідність</w:t>
            </w:r>
          </w:p>
        </w:tc>
      </w:tr>
      <w:tr w:rsidR="00086352" w:rsidRPr="002746FC" w14:paraId="5D8884C7" w14:textId="77777777" w:rsidTr="00B9172E">
        <w:trPr>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6D334D"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55C6C6" w14:textId="5EDA36EA" w:rsidR="00086352" w:rsidRPr="002746FC" w:rsidRDefault="00086352" w:rsidP="00B9172E">
            <w:pPr>
              <w:spacing w:after="0" w:line="240" w:lineRule="auto"/>
              <w:rPr>
                <w:rFonts w:ascii="Times New Roman" w:eastAsia="Times New Roman" w:hAnsi="Times New Roman" w:cs="Times New Roman"/>
                <w:b/>
                <w:bCs/>
                <w:sz w:val="24"/>
                <w:szCs w:val="24"/>
                <w:lang w:eastAsia="ru-RU"/>
              </w:rPr>
            </w:pPr>
            <w:r w:rsidRPr="002746FC">
              <w:rPr>
                <w:rFonts w:ascii="Times New Roman" w:eastAsia="Times New Roman" w:hAnsi="Times New Roman" w:cs="Times New Roman"/>
                <w:b/>
                <w:bCs/>
                <w:sz w:val="24"/>
                <w:szCs w:val="24"/>
                <w:lang w:eastAsia="ru-RU"/>
              </w:rPr>
              <w:t>ВИМОГИ ДО КОМПЛЕКТАЦІЇ</w:t>
            </w:r>
          </w:p>
        </w:tc>
        <w:tc>
          <w:tcPr>
            <w:tcW w:w="0" w:type="auto"/>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vAlign w:val="bottom"/>
            <w:hideMark/>
          </w:tcPr>
          <w:p w14:paraId="68B75D70" w14:textId="77777777" w:rsidR="00086352" w:rsidRPr="002746FC" w:rsidRDefault="00086352" w:rsidP="00B9172E">
            <w:pPr>
              <w:spacing w:after="0" w:line="240" w:lineRule="auto"/>
              <w:rPr>
                <w:rFonts w:ascii="Times New Roman" w:eastAsia="Times New Roman" w:hAnsi="Times New Roman" w:cs="Times New Roman"/>
                <w:sz w:val="24"/>
                <w:szCs w:val="24"/>
                <w:lang w:eastAsia="ru-RU"/>
              </w:rPr>
            </w:pPr>
          </w:p>
        </w:tc>
      </w:tr>
      <w:tr w:rsidR="00086352" w:rsidRPr="002746FC" w14:paraId="7612EC43" w14:textId="77777777" w:rsidTr="00A867CD">
        <w:trPr>
          <w:trHeight w:val="285"/>
        </w:trPr>
        <w:tc>
          <w:tcPr>
            <w:tcW w:w="0" w:type="auto"/>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AA021" w14:textId="7F72EB30" w:rsidR="00086352" w:rsidRPr="002746FC" w:rsidRDefault="00086352" w:rsidP="00B9172E">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r w:rsidR="00DB2199">
              <w:rPr>
                <w:rFonts w:ascii="Times New Roman" w:eastAsia="Times New Roman" w:hAnsi="Times New Roman" w:cs="Times New Roman"/>
                <w:sz w:val="24"/>
                <w:szCs w:val="24"/>
                <w:lang w:eastAsia="ru-RU"/>
              </w:rPr>
              <w:t>.1</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E0A07" w14:textId="40CB8CF3" w:rsidR="00086352" w:rsidRPr="002746FC" w:rsidRDefault="00C9701D" w:rsidP="00B917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лікування не</w:t>
            </w:r>
            <w:r w:rsidR="00DB2199">
              <w:rPr>
                <w:rFonts w:ascii="Times New Roman" w:eastAsia="Times New Roman" w:hAnsi="Times New Roman" w:cs="Times New Roman"/>
                <w:sz w:val="24"/>
                <w:szCs w:val="24"/>
                <w:lang w:eastAsia="ru-RU"/>
              </w:rPr>
              <w:t>гативним тиском</w:t>
            </w:r>
            <w:r w:rsidR="00086352" w:rsidRPr="002746FC">
              <w:rPr>
                <w:rFonts w:ascii="Times New Roman" w:eastAsia="Times New Roman" w:hAnsi="Times New Roman" w:cs="Times New Roman"/>
                <w:sz w:val="24"/>
                <w:szCs w:val="24"/>
                <w:lang w:eastAsia="ru-RU"/>
              </w:rPr>
              <w:t xml:space="preserve"> має постачатись в комплекті з наступним набором витратних матеріалів: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9936193" w14:textId="4E86DC95" w:rsidR="00086352" w:rsidRPr="002746FC" w:rsidRDefault="00862A2A" w:rsidP="00B917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r>
      <w:tr w:rsidR="00862A2A" w:rsidRPr="002746FC" w14:paraId="49C3C7CD" w14:textId="77777777" w:rsidTr="00B9172E">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F4D4C6" w14:textId="76B59848" w:rsidR="00862A2A" w:rsidRPr="002746FC" w:rsidRDefault="00862A2A" w:rsidP="00862A2A">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r w:rsidR="00DB2199">
              <w:rPr>
                <w:rFonts w:ascii="Times New Roman" w:eastAsia="Times New Roman" w:hAnsi="Times New Roman" w:cs="Times New Roman"/>
                <w:sz w:val="24"/>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938AF8" w14:textId="14B360FE" w:rsidR="00862A2A" w:rsidRPr="002746FC" w:rsidRDefault="00862A2A" w:rsidP="00862A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Каністра (</w:t>
            </w:r>
            <w:r w:rsidRPr="002746FC">
              <w:rPr>
                <w:rFonts w:ascii="Times New Roman" w:eastAsia="Times New Roman" w:hAnsi="Times New Roman" w:cs="Times New Roman"/>
                <w:sz w:val="24"/>
                <w:szCs w:val="24"/>
                <w:lang w:eastAsia="ru-RU"/>
              </w:rPr>
              <w:t>800 мл</w:t>
            </w:r>
            <w:r>
              <w:rPr>
                <w:rFonts w:ascii="Times New Roman" w:eastAsia="Times New Roman" w:hAnsi="Times New Roman" w:cs="Times New Roman"/>
                <w:sz w:val="24"/>
                <w:szCs w:val="24"/>
                <w:lang w:eastAsia="ru-RU"/>
              </w:rPr>
              <w:t xml:space="preserve"> – 1000 мл)</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471A2C" w14:textId="60F58880" w:rsidR="00862A2A" w:rsidRPr="002746FC" w:rsidRDefault="00862A2A" w:rsidP="00862A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1 323</w:t>
            </w:r>
          </w:p>
        </w:tc>
      </w:tr>
      <w:tr w:rsidR="00862A2A" w:rsidRPr="002746FC" w14:paraId="26D36ED4" w14:textId="77777777" w:rsidTr="00C9701D">
        <w:trPr>
          <w:trHeight w:val="285"/>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76D4D7B0" w14:textId="2499426F" w:rsidR="00862A2A" w:rsidRPr="002746FC" w:rsidRDefault="00862A2A" w:rsidP="00862A2A">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1.</w:t>
            </w:r>
            <w:r w:rsidR="00DB2199">
              <w:rPr>
                <w:rFonts w:ascii="Times New Roman" w:eastAsia="Times New Roman" w:hAnsi="Times New Roman" w:cs="Times New Roman"/>
                <w:sz w:val="24"/>
                <w:szCs w:val="24"/>
                <w:lang w:eastAsia="ru-RU"/>
              </w:rPr>
              <w:t>3</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5E63816F" w14:textId="01A05FBC" w:rsidR="00862A2A" w:rsidRPr="002746FC" w:rsidRDefault="00862A2A" w:rsidP="00862A2A">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Набори перев'язувальних матеріалів для терапії ран негативним тиском (великого розміру)</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bottom"/>
            <w:hideMark/>
          </w:tcPr>
          <w:p w14:paraId="2A695AF7" w14:textId="32711218" w:rsidR="00862A2A" w:rsidRPr="002746FC" w:rsidRDefault="00862A2A" w:rsidP="00862A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8 024</w:t>
            </w:r>
          </w:p>
        </w:tc>
      </w:tr>
      <w:tr w:rsidR="00862A2A" w:rsidRPr="002746FC" w14:paraId="0C809EA5" w14:textId="77777777" w:rsidTr="00C9701D">
        <w:trPr>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4F7E3B" w14:textId="73E9EA51" w:rsidR="00862A2A" w:rsidRPr="002746FC" w:rsidRDefault="00862A2A" w:rsidP="00862A2A">
            <w:pPr>
              <w:spacing w:after="0" w:line="240" w:lineRule="auto"/>
              <w:jc w:val="center"/>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lastRenderedPageBreak/>
              <w:t>1.</w:t>
            </w:r>
            <w:r w:rsidR="00DB2199">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CAA4E4A" w14:textId="1BF6B693" w:rsidR="00862A2A" w:rsidRPr="002746FC" w:rsidRDefault="00862A2A" w:rsidP="00862A2A">
            <w:pPr>
              <w:spacing w:after="0" w:line="240" w:lineRule="auto"/>
              <w:rPr>
                <w:rFonts w:ascii="Times New Roman" w:eastAsia="Times New Roman" w:hAnsi="Times New Roman" w:cs="Times New Roman"/>
                <w:sz w:val="24"/>
                <w:szCs w:val="24"/>
                <w:lang w:eastAsia="ru-RU"/>
              </w:rPr>
            </w:pPr>
            <w:r w:rsidRPr="002746FC">
              <w:rPr>
                <w:rFonts w:ascii="Times New Roman" w:eastAsia="Times New Roman" w:hAnsi="Times New Roman" w:cs="Times New Roman"/>
                <w:sz w:val="24"/>
                <w:szCs w:val="24"/>
                <w:lang w:eastAsia="ru-RU"/>
              </w:rPr>
              <w:t>Набори перев'язувальних матеріалів для терапії ран негативним тиском (середнього розміру)</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C8A30D7" w14:textId="0D69E489" w:rsidR="00862A2A" w:rsidRPr="002746FC" w:rsidRDefault="00862A2A" w:rsidP="00862A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4 704</w:t>
            </w:r>
          </w:p>
        </w:tc>
      </w:tr>
    </w:tbl>
    <w:p w14:paraId="14499887" w14:textId="24F53FF2" w:rsidR="00E4427C" w:rsidRPr="002746FC" w:rsidRDefault="00E4427C" w:rsidP="004E60E7">
      <w:pPr>
        <w:rPr>
          <w:rFonts w:ascii="Times New Roman" w:eastAsia="Times New Roman" w:hAnsi="Times New Roman" w:cs="Times New Roman"/>
          <w:sz w:val="24"/>
          <w:szCs w:val="24"/>
          <w:lang w:eastAsia="ru-RU"/>
        </w:rPr>
      </w:pPr>
    </w:p>
    <w:sectPr w:rsidR="00E4427C" w:rsidRPr="002746FC" w:rsidSect="00222FB9">
      <w:headerReference w:type="default" r:id="rId9"/>
      <w:footerReference w:type="default" r:id="rId10"/>
      <w:headerReference w:type="first" r:id="rId11"/>
      <w:pgSz w:w="11906" w:h="16838"/>
      <w:pgMar w:top="1134" w:right="991" w:bottom="851" w:left="1036"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4F8E" w14:textId="77777777" w:rsidR="00BE5D58" w:rsidRDefault="00BE5D58">
      <w:pPr>
        <w:spacing w:after="0" w:line="240" w:lineRule="auto"/>
      </w:pPr>
      <w:r>
        <w:separator/>
      </w:r>
    </w:p>
  </w:endnote>
  <w:endnote w:type="continuationSeparator" w:id="0">
    <w:p w14:paraId="37E06747" w14:textId="77777777" w:rsidR="00BE5D58" w:rsidRDefault="00B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cs-Calibri">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8FC1" w14:textId="77777777" w:rsidR="00A3355E" w:rsidRDefault="00A3355E">
    <w:pPr>
      <w:jc w:val="right"/>
      <w:rPr>
        <w:rFonts w:ascii="Times New Roman" w:eastAsia="Times New Roman" w:hAnsi="Times New Roman" w:cs="Times New Roman"/>
        <w:sz w:val="24"/>
        <w:szCs w:val="24"/>
      </w:rPr>
    </w:pPr>
  </w:p>
  <w:p w14:paraId="5C62ACAA" w14:textId="77777777" w:rsidR="00A3355E" w:rsidRDefault="00BE5D5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24C62">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1262D" w14:textId="77777777" w:rsidR="00BE5D58" w:rsidRDefault="00BE5D58">
      <w:pPr>
        <w:spacing w:after="0" w:line="240" w:lineRule="auto"/>
      </w:pPr>
      <w:r>
        <w:separator/>
      </w:r>
    </w:p>
  </w:footnote>
  <w:footnote w:type="continuationSeparator" w:id="0">
    <w:p w14:paraId="2905AC87" w14:textId="77777777" w:rsidR="00BE5D58" w:rsidRDefault="00BE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34033" w14:textId="77777777" w:rsidR="00DC5B61" w:rsidRDefault="00DC5B61">
    <w:pPr>
      <w:pStyle w:val="a4"/>
      <w:jc w:val="center"/>
    </w:pPr>
  </w:p>
  <w:sdt>
    <w:sdtPr>
      <w:id w:val="1176079606"/>
      <w:docPartObj>
        <w:docPartGallery w:val="Page Numbers (Top of Page)"/>
        <w:docPartUnique/>
      </w:docPartObj>
    </w:sdtPr>
    <w:sdtEndPr>
      <w:rPr>
        <w:rFonts w:ascii="Times New Roman" w:hAnsi="Times New Roman" w:cs="Times New Roman"/>
      </w:rPr>
    </w:sdtEndPr>
    <w:sdtContent>
      <w:p w14:paraId="6D4EB62B" w14:textId="77777777" w:rsidR="00025CE8" w:rsidRDefault="00025CE8">
        <w:pPr>
          <w:pStyle w:val="a4"/>
          <w:jc w:val="center"/>
        </w:pPr>
      </w:p>
      <w:p w14:paraId="3738F008" w14:textId="7C79F23B" w:rsidR="00DC5B61" w:rsidRPr="00DC5B61" w:rsidRDefault="00DC5B61">
        <w:pPr>
          <w:pStyle w:val="a4"/>
          <w:jc w:val="center"/>
          <w:rPr>
            <w:rFonts w:ascii="Times New Roman" w:hAnsi="Times New Roman" w:cs="Times New Roman"/>
          </w:rPr>
        </w:pPr>
        <w:r w:rsidRPr="00DC5B61">
          <w:rPr>
            <w:rFonts w:ascii="Times New Roman" w:hAnsi="Times New Roman" w:cs="Times New Roman"/>
          </w:rPr>
          <w:fldChar w:fldCharType="begin"/>
        </w:r>
        <w:r w:rsidRPr="00DC5B61">
          <w:rPr>
            <w:rFonts w:ascii="Times New Roman" w:hAnsi="Times New Roman" w:cs="Times New Roman"/>
          </w:rPr>
          <w:instrText>PAGE   \* MERGEFORMAT</w:instrText>
        </w:r>
        <w:r w:rsidRPr="00DC5B61">
          <w:rPr>
            <w:rFonts w:ascii="Times New Roman" w:hAnsi="Times New Roman" w:cs="Times New Roman"/>
          </w:rPr>
          <w:fldChar w:fldCharType="separate"/>
        </w:r>
        <w:r w:rsidRPr="00DC5B61">
          <w:rPr>
            <w:rFonts w:ascii="Times New Roman" w:hAnsi="Times New Roman" w:cs="Times New Roman"/>
          </w:rPr>
          <w:t>2</w:t>
        </w:r>
        <w:r w:rsidRPr="00DC5B61">
          <w:rPr>
            <w:rFonts w:ascii="Times New Roman" w:hAnsi="Times New Roman" w:cs="Times New Roman"/>
          </w:rPr>
          <w:fldChar w:fldCharType="end"/>
        </w:r>
      </w:p>
    </w:sdtContent>
  </w:sdt>
  <w:p w14:paraId="555DCF30" w14:textId="77777777" w:rsidR="00A3355E" w:rsidRDefault="00A3355E">
    <w:pPr>
      <w:pBdr>
        <w:top w:val="nil"/>
        <w:left w:val="nil"/>
        <w:bottom w:val="nil"/>
        <w:right w:val="nil"/>
        <w:between w:val="nil"/>
      </w:pBdr>
      <w:tabs>
        <w:tab w:val="center" w:pos="4677"/>
        <w:tab w:val="right" w:pos="9355"/>
      </w:tabs>
      <w:spacing w:after="0" w:line="240" w:lineRule="auto"/>
      <w:ind w:left="-851"/>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1262" w14:textId="2F7D08EC" w:rsidR="00A3355E" w:rsidRDefault="00A3355E" w:rsidP="006751C3">
    <w:pPr>
      <w:pBdr>
        <w:top w:val="nil"/>
        <w:left w:val="nil"/>
        <w:bottom w:val="nil"/>
        <w:right w:val="nil"/>
        <w:between w:val="nil"/>
      </w:pBdr>
      <w:tabs>
        <w:tab w:val="center" w:pos="4677"/>
        <w:tab w:val="right" w:pos="9355"/>
      </w:tabs>
      <w:spacing w:after="0" w:line="240" w:lineRule="auto"/>
      <w:ind w:left="-709" w:right="-57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ECF"/>
    <w:multiLevelType w:val="multilevel"/>
    <w:tmpl w:val="7A56D1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6845"/>
    <w:multiLevelType w:val="multilevel"/>
    <w:tmpl w:val="D6144C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39A2C4F"/>
    <w:multiLevelType w:val="hybridMultilevel"/>
    <w:tmpl w:val="FCEA4DE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42631C2D"/>
    <w:multiLevelType w:val="hybridMultilevel"/>
    <w:tmpl w:val="D6FE6322"/>
    <w:lvl w:ilvl="0" w:tplc="E12E62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44F27B2"/>
    <w:multiLevelType w:val="hybridMultilevel"/>
    <w:tmpl w:val="8F202C32"/>
    <w:lvl w:ilvl="0" w:tplc="7536194A">
      <w:start w:val="1"/>
      <w:numFmt w:val="decimal"/>
      <w:lvlText w:val="%1."/>
      <w:lvlJc w:val="left"/>
      <w:pPr>
        <w:ind w:left="218" w:hanging="360"/>
      </w:pPr>
      <w:rPr>
        <w:rFonts w:ascii="docs-Calibri" w:hAnsi="docs-Calibri" w:cs="Calibri" w:hint="default"/>
        <w:b w:val="0"/>
        <w:color w:val="000000"/>
        <w:sz w:val="20"/>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5" w15:restartNumberingAfterBreak="0">
    <w:nsid w:val="58D10459"/>
    <w:multiLevelType w:val="multilevel"/>
    <w:tmpl w:val="1450AF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82773E8"/>
    <w:multiLevelType w:val="multilevel"/>
    <w:tmpl w:val="A406FD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5E"/>
    <w:rsid w:val="00025CE8"/>
    <w:rsid w:val="00046B16"/>
    <w:rsid w:val="000662D7"/>
    <w:rsid w:val="00086352"/>
    <w:rsid w:val="00154307"/>
    <w:rsid w:val="001D0A62"/>
    <w:rsid w:val="001E70BC"/>
    <w:rsid w:val="001F1855"/>
    <w:rsid w:val="001F4486"/>
    <w:rsid w:val="00222FB9"/>
    <w:rsid w:val="00227AFA"/>
    <w:rsid w:val="002651B5"/>
    <w:rsid w:val="002746FC"/>
    <w:rsid w:val="00291B2A"/>
    <w:rsid w:val="002B370B"/>
    <w:rsid w:val="002F3B9E"/>
    <w:rsid w:val="00321CA3"/>
    <w:rsid w:val="003459A0"/>
    <w:rsid w:val="00364CF5"/>
    <w:rsid w:val="003650A9"/>
    <w:rsid w:val="004508A1"/>
    <w:rsid w:val="0045155B"/>
    <w:rsid w:val="004568AB"/>
    <w:rsid w:val="00494D5A"/>
    <w:rsid w:val="004A2123"/>
    <w:rsid w:val="004C5EAE"/>
    <w:rsid w:val="004E1883"/>
    <w:rsid w:val="004E60E7"/>
    <w:rsid w:val="005129CE"/>
    <w:rsid w:val="00524C62"/>
    <w:rsid w:val="00536004"/>
    <w:rsid w:val="005364BE"/>
    <w:rsid w:val="00582159"/>
    <w:rsid w:val="005B7AEB"/>
    <w:rsid w:val="005F660C"/>
    <w:rsid w:val="00605B59"/>
    <w:rsid w:val="00606191"/>
    <w:rsid w:val="006377B1"/>
    <w:rsid w:val="006751C3"/>
    <w:rsid w:val="00687CBE"/>
    <w:rsid w:val="006D4DE6"/>
    <w:rsid w:val="006F7C82"/>
    <w:rsid w:val="0076281F"/>
    <w:rsid w:val="008073B7"/>
    <w:rsid w:val="00830739"/>
    <w:rsid w:val="00862A2A"/>
    <w:rsid w:val="008E0084"/>
    <w:rsid w:val="00926E2D"/>
    <w:rsid w:val="00993C6D"/>
    <w:rsid w:val="009A792C"/>
    <w:rsid w:val="009C2BE3"/>
    <w:rsid w:val="009D37E2"/>
    <w:rsid w:val="00A3355E"/>
    <w:rsid w:val="00A867CD"/>
    <w:rsid w:val="00A91E94"/>
    <w:rsid w:val="00AA67AA"/>
    <w:rsid w:val="00AE1FB0"/>
    <w:rsid w:val="00B33C33"/>
    <w:rsid w:val="00B72A9E"/>
    <w:rsid w:val="00BA1305"/>
    <w:rsid w:val="00BC5C77"/>
    <w:rsid w:val="00BD6FCC"/>
    <w:rsid w:val="00BD7420"/>
    <w:rsid w:val="00BD7D0E"/>
    <w:rsid w:val="00BE3A6C"/>
    <w:rsid w:val="00BE5D58"/>
    <w:rsid w:val="00BE62A3"/>
    <w:rsid w:val="00C15505"/>
    <w:rsid w:val="00C201D1"/>
    <w:rsid w:val="00C22257"/>
    <w:rsid w:val="00C84601"/>
    <w:rsid w:val="00C92019"/>
    <w:rsid w:val="00C9701D"/>
    <w:rsid w:val="00CB7350"/>
    <w:rsid w:val="00CC14B7"/>
    <w:rsid w:val="00CC413D"/>
    <w:rsid w:val="00CC72AF"/>
    <w:rsid w:val="00D65EF7"/>
    <w:rsid w:val="00D67B6D"/>
    <w:rsid w:val="00D72B8C"/>
    <w:rsid w:val="00D85F8E"/>
    <w:rsid w:val="00D8610B"/>
    <w:rsid w:val="00DB2199"/>
    <w:rsid w:val="00DC5B61"/>
    <w:rsid w:val="00E4427C"/>
    <w:rsid w:val="00EC602B"/>
    <w:rsid w:val="00EF5EA5"/>
    <w:rsid w:val="00F25DBE"/>
    <w:rsid w:val="00F46146"/>
    <w:rsid w:val="00FF54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D6CA6"/>
  <w15:docId w15:val="{EF4A9A94-4E32-40EC-89F6-BC3D270C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paragraph" w:styleId="a4">
    <w:name w:val="header"/>
    <w:basedOn w:val="a"/>
    <w:link w:val="a5"/>
    <w:uiPriority w:val="99"/>
    <w:unhideWhenUsed/>
    <w:rsid w:val="00C930AE"/>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930AE"/>
  </w:style>
  <w:style w:type="paragraph" w:styleId="a6">
    <w:name w:val="footer"/>
    <w:basedOn w:val="a"/>
    <w:link w:val="a7"/>
    <w:uiPriority w:val="99"/>
    <w:unhideWhenUsed/>
    <w:rsid w:val="00C930AE"/>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30AE"/>
  </w:style>
  <w:style w:type="table" w:styleId="a8">
    <w:name w:val="Table Grid"/>
    <w:basedOn w:val="a1"/>
    <w:uiPriority w:val="39"/>
    <w:rsid w:val="004B7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183"/>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EB4183"/>
    <w:rPr>
      <w:rFonts w:ascii="Segoe UI" w:hAnsi="Segoe UI" w:cs="Segoe UI"/>
      <w:sz w:val="18"/>
      <w:szCs w:val="18"/>
    </w:rPr>
  </w:style>
  <w:style w:type="paragraph" w:styleId="ab">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f2"/>
    <w:tblPr>
      <w:tblStyleRowBandSize w:val="1"/>
      <w:tblStyleColBandSize w:val="1"/>
      <w:tblCellMar>
        <w:left w:w="115" w:type="dxa"/>
        <w:right w:w="115" w:type="dxa"/>
      </w:tblCellMar>
    </w:tblPr>
  </w:style>
  <w:style w:type="table" w:customStyle="1" w:styleId="ad">
    <w:basedOn w:val="TableNormalf1"/>
    <w:pPr>
      <w:spacing w:after="0" w:line="240" w:lineRule="auto"/>
    </w:pPr>
    <w:tblPr>
      <w:tblStyleRowBandSize w:val="1"/>
      <w:tblStyleColBandSize w:val="1"/>
      <w:tblCellMar>
        <w:left w:w="108" w:type="dxa"/>
        <w:right w:w="108" w:type="dxa"/>
      </w:tblCellMar>
    </w:tblPr>
  </w:style>
  <w:style w:type="character" w:styleId="ae">
    <w:name w:val="Hyperlink"/>
    <w:basedOn w:val="a0"/>
    <w:uiPriority w:val="99"/>
    <w:unhideWhenUsed/>
    <w:rsid w:val="007117E9"/>
    <w:rPr>
      <w:color w:val="0563C1" w:themeColor="hyperlink"/>
      <w:u w:val="single"/>
    </w:rPr>
  </w:style>
  <w:style w:type="character" w:customStyle="1" w:styleId="10">
    <w:name w:val="Неразрешенное упоминание1"/>
    <w:basedOn w:val="a0"/>
    <w:uiPriority w:val="99"/>
    <w:semiHidden/>
    <w:unhideWhenUsed/>
    <w:rsid w:val="007117E9"/>
    <w:rPr>
      <w:color w:val="605E5C"/>
      <w:shd w:val="clear" w:color="auto" w:fill="E1DFDD"/>
    </w:rPr>
  </w:style>
  <w:style w:type="table" w:customStyle="1" w:styleId="af">
    <w:basedOn w:val="TableNormalf0"/>
    <w:pPr>
      <w:spacing w:after="0" w:line="240" w:lineRule="auto"/>
    </w:pPr>
    <w:tblPr>
      <w:tblStyleRowBandSize w:val="1"/>
      <w:tblStyleColBandSize w:val="1"/>
      <w:tblCellMar>
        <w:left w:w="108" w:type="dxa"/>
        <w:right w:w="108" w:type="dxa"/>
      </w:tblCellMar>
    </w:tblPr>
  </w:style>
  <w:style w:type="table" w:customStyle="1" w:styleId="af0">
    <w:basedOn w:val="TableNormalf"/>
    <w:pPr>
      <w:spacing w:after="0" w:line="240" w:lineRule="auto"/>
    </w:pPr>
    <w:tblPr>
      <w:tblStyleRowBandSize w:val="1"/>
      <w:tblStyleColBandSize w:val="1"/>
      <w:tblCellMar>
        <w:left w:w="108" w:type="dxa"/>
        <w:right w:w="108" w:type="dxa"/>
      </w:tblCellMar>
    </w:tblPr>
  </w:style>
  <w:style w:type="table" w:customStyle="1" w:styleId="af1">
    <w:basedOn w:val="TableNormale"/>
    <w:pPr>
      <w:spacing w:after="0" w:line="240" w:lineRule="auto"/>
    </w:pPr>
    <w:tblPr>
      <w:tblStyleRowBandSize w:val="1"/>
      <w:tblStyleColBandSize w:val="1"/>
      <w:tblCellMar>
        <w:left w:w="108" w:type="dxa"/>
        <w:right w:w="108" w:type="dxa"/>
      </w:tblCellMar>
    </w:tblPr>
  </w:style>
  <w:style w:type="table" w:customStyle="1" w:styleId="af2">
    <w:basedOn w:val="TableNormalb"/>
    <w:pPr>
      <w:spacing w:after="0" w:line="240" w:lineRule="auto"/>
    </w:pPr>
    <w:tblPr>
      <w:tblStyleRowBandSize w:val="1"/>
      <w:tblStyleColBandSize w:val="1"/>
      <w:tblCellMar>
        <w:left w:w="108" w:type="dxa"/>
        <w:right w:w="108" w:type="dxa"/>
      </w:tblCellMar>
    </w:tblPr>
  </w:style>
  <w:style w:type="table" w:customStyle="1" w:styleId="af3">
    <w:basedOn w:val="TableNormala"/>
    <w:tblPr>
      <w:tblStyleRowBandSize w:val="1"/>
      <w:tblStyleColBandSize w:val="1"/>
      <w:tblCellMar>
        <w:left w:w="115" w:type="dxa"/>
        <w:right w:w="115" w:type="dxa"/>
      </w:tblCellMar>
    </w:tblPr>
  </w:style>
  <w:style w:type="table" w:customStyle="1" w:styleId="af4">
    <w:basedOn w:val="TableNormala"/>
    <w:tblPr>
      <w:tblStyleRowBandSize w:val="1"/>
      <w:tblStyleColBandSize w:val="1"/>
      <w:tblCellMar>
        <w:left w:w="115" w:type="dxa"/>
        <w:right w:w="115" w:type="dxa"/>
      </w:tblCellMar>
    </w:tblPr>
  </w:style>
  <w:style w:type="table" w:customStyle="1" w:styleId="af5">
    <w:basedOn w:val="TableNormal9"/>
    <w:pPr>
      <w:spacing w:after="0" w:line="240" w:lineRule="auto"/>
    </w:pPr>
    <w:tblPr>
      <w:tblStyleRowBandSize w:val="1"/>
      <w:tblStyleColBandSize w:val="1"/>
      <w:tblCellMar>
        <w:left w:w="108" w:type="dxa"/>
        <w:right w:w="108" w:type="dxa"/>
      </w:tblCellMar>
    </w:tbl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8"/>
    <w:pPr>
      <w:spacing w:after="0" w:line="240" w:lineRule="auto"/>
    </w:pPr>
    <w:tblPr>
      <w:tblStyleRowBandSize w:val="1"/>
      <w:tblStyleColBandSize w:val="1"/>
      <w:tblCellMar>
        <w:left w:w="115" w:type="dxa"/>
        <w:right w:w="115" w:type="dxa"/>
      </w:tblCellMar>
    </w:tblPr>
  </w:style>
  <w:style w:type="table" w:customStyle="1" w:styleId="af8">
    <w:basedOn w:val="TableNormal8"/>
    <w:pPr>
      <w:spacing w:after="0" w:line="240" w:lineRule="auto"/>
    </w:pPr>
    <w:tblPr>
      <w:tblStyleRowBandSize w:val="1"/>
      <w:tblStyleColBandSize w:val="1"/>
      <w:tblCellMar>
        <w:left w:w="115" w:type="dxa"/>
        <w:right w:w="115" w:type="dxa"/>
      </w:tblCellMar>
    </w:tblPr>
  </w:style>
  <w:style w:type="table" w:customStyle="1" w:styleId="af9">
    <w:basedOn w:val="TableNormal7"/>
    <w:pPr>
      <w:spacing w:after="0" w:line="240" w:lineRule="auto"/>
    </w:pPr>
    <w:tblPr>
      <w:tblStyleRowBandSize w:val="1"/>
      <w:tblStyleColBandSize w:val="1"/>
      <w:tblCellMar>
        <w:left w:w="115" w:type="dxa"/>
        <w:right w:w="115" w:type="dxa"/>
      </w:tblCellMar>
    </w:tblPr>
  </w:style>
  <w:style w:type="table" w:customStyle="1" w:styleId="afa">
    <w:basedOn w:val="TableNormal7"/>
    <w:pPr>
      <w:spacing w:after="0" w:line="240" w:lineRule="auto"/>
    </w:pPr>
    <w:tblPr>
      <w:tblStyleRowBandSize w:val="1"/>
      <w:tblStyleColBandSize w:val="1"/>
      <w:tblCellMar>
        <w:left w:w="115" w:type="dxa"/>
        <w:right w:w="115" w:type="dxa"/>
      </w:tblCellMar>
    </w:tblPr>
  </w:style>
  <w:style w:type="table" w:customStyle="1" w:styleId="afb">
    <w:basedOn w:val="TableNormal7"/>
    <w:pPr>
      <w:spacing w:after="0" w:line="240" w:lineRule="auto"/>
    </w:pPr>
    <w:tblPr>
      <w:tblStyleRowBandSize w:val="1"/>
      <w:tblStyleColBandSize w:val="1"/>
      <w:tblCellMar>
        <w:left w:w="115" w:type="dxa"/>
        <w:right w:w="115" w:type="dxa"/>
      </w:tblCellMar>
    </w:tblPr>
  </w:style>
  <w:style w:type="table" w:customStyle="1" w:styleId="afc">
    <w:basedOn w:val="TableNormal7"/>
    <w:pPr>
      <w:spacing w:after="0" w:line="240" w:lineRule="auto"/>
    </w:pPr>
    <w:tblPr>
      <w:tblStyleRowBandSize w:val="1"/>
      <w:tblStyleColBandSize w:val="1"/>
      <w:tblCellMar>
        <w:left w:w="115" w:type="dxa"/>
        <w:right w:w="115" w:type="dxa"/>
      </w:tblCellMar>
    </w:tblPr>
  </w:style>
  <w:style w:type="table" w:customStyle="1" w:styleId="afd">
    <w:basedOn w:val="TableNormal7"/>
    <w:pPr>
      <w:spacing w:after="0" w:line="240" w:lineRule="auto"/>
    </w:pPr>
    <w:tblPr>
      <w:tblStyleRowBandSize w:val="1"/>
      <w:tblStyleColBandSize w:val="1"/>
      <w:tblCellMar>
        <w:left w:w="115" w:type="dxa"/>
        <w:right w:w="115" w:type="dxa"/>
      </w:tblCellMar>
    </w:tblPr>
  </w:style>
  <w:style w:type="table" w:customStyle="1" w:styleId="afe">
    <w:basedOn w:val="TableNormal7"/>
    <w:pPr>
      <w:spacing w:after="0" w:line="240" w:lineRule="auto"/>
    </w:pPr>
    <w:tblPr>
      <w:tblStyleRowBandSize w:val="1"/>
      <w:tblStyleColBandSize w:val="1"/>
      <w:tblCellMar>
        <w:left w:w="115" w:type="dxa"/>
        <w:right w:w="115" w:type="dxa"/>
      </w:tblCellMar>
    </w:tblPr>
  </w:style>
  <w:style w:type="table" w:customStyle="1" w:styleId="aff">
    <w:basedOn w:val="TableNormal4"/>
    <w:pPr>
      <w:spacing w:after="0" w:line="240" w:lineRule="auto"/>
    </w:pPr>
    <w:tblPr>
      <w:tblStyleRowBandSize w:val="1"/>
      <w:tblStyleColBandSize w:val="1"/>
      <w:tblCellMar>
        <w:left w:w="115" w:type="dxa"/>
        <w:right w:w="115" w:type="dxa"/>
      </w:tblCellMar>
    </w:tblPr>
  </w:style>
  <w:style w:type="table" w:customStyle="1" w:styleId="aff0">
    <w:basedOn w:val="TableNormal4"/>
    <w:pPr>
      <w:spacing w:after="0" w:line="240" w:lineRule="auto"/>
    </w:pPr>
    <w:tblPr>
      <w:tblStyleRowBandSize w:val="1"/>
      <w:tblStyleColBandSize w:val="1"/>
      <w:tblCellMar>
        <w:left w:w="115" w:type="dxa"/>
        <w:right w:w="115" w:type="dxa"/>
      </w:tblCellMar>
    </w:tblPr>
  </w:style>
  <w:style w:type="character" w:styleId="aff1">
    <w:name w:val="Unresolved Mention"/>
    <w:basedOn w:val="a0"/>
    <w:uiPriority w:val="99"/>
    <w:semiHidden/>
    <w:unhideWhenUsed/>
    <w:rsid w:val="00E043C4"/>
    <w:rPr>
      <w:color w:val="605E5C"/>
      <w:shd w:val="clear" w:color="auto" w:fill="E1DFDD"/>
    </w:rPr>
  </w:style>
  <w:style w:type="table" w:customStyle="1" w:styleId="aff2">
    <w:basedOn w:val="TableNormal3"/>
    <w:pPr>
      <w:spacing w:after="0" w:line="240" w:lineRule="auto"/>
    </w:pPr>
    <w:tblPr>
      <w:tblStyleRowBandSize w:val="1"/>
      <w:tblStyleColBandSize w:val="1"/>
      <w:tblCellMar>
        <w:left w:w="115" w:type="dxa"/>
        <w:right w:w="115" w:type="dxa"/>
      </w:tblCellMar>
    </w:tblPr>
  </w:style>
  <w:style w:type="table" w:customStyle="1" w:styleId="aff3">
    <w:basedOn w:val="TableNormal3"/>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character" w:styleId="aff8">
    <w:name w:val="annotation reference"/>
    <w:basedOn w:val="a0"/>
    <w:uiPriority w:val="99"/>
    <w:semiHidden/>
    <w:unhideWhenUsed/>
    <w:rsid w:val="001F4486"/>
    <w:rPr>
      <w:sz w:val="16"/>
      <w:szCs w:val="16"/>
    </w:rPr>
  </w:style>
  <w:style w:type="paragraph" w:styleId="aff9">
    <w:name w:val="annotation text"/>
    <w:basedOn w:val="a"/>
    <w:link w:val="affa"/>
    <w:uiPriority w:val="99"/>
    <w:unhideWhenUsed/>
    <w:rsid w:val="001F4486"/>
    <w:pPr>
      <w:spacing w:line="240" w:lineRule="auto"/>
    </w:pPr>
    <w:rPr>
      <w:sz w:val="20"/>
      <w:szCs w:val="20"/>
    </w:rPr>
  </w:style>
  <w:style w:type="character" w:customStyle="1" w:styleId="affa">
    <w:name w:val="Текст примітки Знак"/>
    <w:basedOn w:val="a0"/>
    <w:link w:val="aff9"/>
    <w:uiPriority w:val="99"/>
    <w:rsid w:val="001F4486"/>
    <w:rPr>
      <w:sz w:val="20"/>
      <w:szCs w:val="20"/>
    </w:rPr>
  </w:style>
  <w:style w:type="paragraph" w:styleId="affb">
    <w:name w:val="annotation subject"/>
    <w:basedOn w:val="aff9"/>
    <w:next w:val="aff9"/>
    <w:link w:val="affc"/>
    <w:uiPriority w:val="99"/>
    <w:semiHidden/>
    <w:unhideWhenUsed/>
    <w:rsid w:val="001F4486"/>
    <w:rPr>
      <w:b/>
      <w:bCs/>
    </w:rPr>
  </w:style>
  <w:style w:type="character" w:customStyle="1" w:styleId="affc">
    <w:name w:val="Тема примітки Знак"/>
    <w:basedOn w:val="affa"/>
    <w:link w:val="affb"/>
    <w:uiPriority w:val="99"/>
    <w:semiHidden/>
    <w:rsid w:val="001F4486"/>
    <w:rPr>
      <w:b/>
      <w:bCs/>
      <w:sz w:val="20"/>
      <w:szCs w:val="20"/>
    </w:rPr>
  </w:style>
  <w:style w:type="paragraph" w:styleId="affd">
    <w:name w:val="Normal (Web)"/>
    <w:aliases w:val="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
    <w:basedOn w:val="a"/>
    <w:link w:val="affe"/>
    <w:uiPriority w:val="99"/>
    <w:unhideWhenUsed/>
    <w:qFormat/>
    <w:rsid w:val="00E4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e">
    <w:name w:val="Звичайний (веб) Знак"/>
    <w:aliases w:val="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веб) Знак1 Знак Знак Знак Знак Знак"/>
    <w:link w:val="affd"/>
    <w:uiPriority w:val="99"/>
    <w:locked/>
    <w:rsid w:val="00E4427C"/>
    <w:rPr>
      <w:rFonts w:ascii="Times New Roman" w:eastAsia="Times New Roman" w:hAnsi="Times New Roman" w:cs="Times New Roman"/>
      <w:sz w:val="24"/>
      <w:szCs w:val="24"/>
    </w:rPr>
  </w:style>
  <w:style w:type="paragraph" w:styleId="afff">
    <w:name w:val="List Paragraph"/>
    <w:basedOn w:val="a"/>
    <w:link w:val="afff0"/>
    <w:uiPriority w:val="34"/>
    <w:qFormat/>
    <w:rsid w:val="00582159"/>
    <w:pPr>
      <w:spacing w:after="0" w:line="276" w:lineRule="auto"/>
      <w:ind w:left="720"/>
      <w:contextualSpacing/>
    </w:pPr>
    <w:rPr>
      <w:rFonts w:ascii="Arial" w:eastAsia="Times New Roman" w:hAnsi="Arial" w:cs="Times New Roman"/>
      <w:szCs w:val="20"/>
      <w:lang w:val="ru-RU" w:eastAsia="ru-RU"/>
    </w:rPr>
  </w:style>
  <w:style w:type="character" w:customStyle="1" w:styleId="afff0">
    <w:name w:val="Абзац списку Знак"/>
    <w:link w:val="afff"/>
    <w:uiPriority w:val="34"/>
    <w:locked/>
    <w:rsid w:val="00582159"/>
    <w:rPr>
      <w:rFonts w:ascii="Arial" w:eastAsia="Times New Roman" w:hAnsi="Arial"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506">
      <w:bodyDiv w:val="1"/>
      <w:marLeft w:val="0"/>
      <w:marRight w:val="0"/>
      <w:marTop w:val="0"/>
      <w:marBottom w:val="0"/>
      <w:divBdr>
        <w:top w:val="none" w:sz="0" w:space="0" w:color="auto"/>
        <w:left w:val="none" w:sz="0" w:space="0" w:color="auto"/>
        <w:bottom w:val="none" w:sz="0" w:space="0" w:color="auto"/>
        <w:right w:val="none" w:sz="0" w:space="0" w:color="auto"/>
      </w:divBdr>
    </w:div>
    <w:div w:id="137311223">
      <w:bodyDiv w:val="1"/>
      <w:marLeft w:val="0"/>
      <w:marRight w:val="0"/>
      <w:marTop w:val="0"/>
      <w:marBottom w:val="0"/>
      <w:divBdr>
        <w:top w:val="none" w:sz="0" w:space="0" w:color="auto"/>
        <w:left w:val="none" w:sz="0" w:space="0" w:color="auto"/>
        <w:bottom w:val="none" w:sz="0" w:space="0" w:color="auto"/>
        <w:right w:val="none" w:sz="0" w:space="0" w:color="auto"/>
      </w:divBdr>
    </w:div>
    <w:div w:id="327827952">
      <w:bodyDiv w:val="1"/>
      <w:marLeft w:val="0"/>
      <w:marRight w:val="0"/>
      <w:marTop w:val="0"/>
      <w:marBottom w:val="0"/>
      <w:divBdr>
        <w:top w:val="none" w:sz="0" w:space="0" w:color="auto"/>
        <w:left w:val="none" w:sz="0" w:space="0" w:color="auto"/>
        <w:bottom w:val="none" w:sz="0" w:space="0" w:color="auto"/>
        <w:right w:val="none" w:sz="0" w:space="0" w:color="auto"/>
      </w:divBdr>
    </w:div>
    <w:div w:id="1010180721">
      <w:bodyDiv w:val="1"/>
      <w:marLeft w:val="0"/>
      <w:marRight w:val="0"/>
      <w:marTop w:val="0"/>
      <w:marBottom w:val="0"/>
      <w:divBdr>
        <w:top w:val="none" w:sz="0" w:space="0" w:color="auto"/>
        <w:left w:val="none" w:sz="0" w:space="0" w:color="auto"/>
        <w:bottom w:val="none" w:sz="0" w:space="0" w:color="auto"/>
        <w:right w:val="none" w:sz="0" w:space="0" w:color="auto"/>
      </w:divBdr>
    </w:div>
    <w:div w:id="1013916976">
      <w:bodyDiv w:val="1"/>
      <w:marLeft w:val="0"/>
      <w:marRight w:val="0"/>
      <w:marTop w:val="0"/>
      <w:marBottom w:val="0"/>
      <w:divBdr>
        <w:top w:val="none" w:sz="0" w:space="0" w:color="auto"/>
        <w:left w:val="none" w:sz="0" w:space="0" w:color="auto"/>
        <w:bottom w:val="none" w:sz="0" w:space="0" w:color="auto"/>
        <w:right w:val="none" w:sz="0" w:space="0" w:color="auto"/>
      </w:divBdr>
    </w:div>
    <w:div w:id="1087727711">
      <w:bodyDiv w:val="1"/>
      <w:marLeft w:val="0"/>
      <w:marRight w:val="0"/>
      <w:marTop w:val="0"/>
      <w:marBottom w:val="0"/>
      <w:divBdr>
        <w:top w:val="none" w:sz="0" w:space="0" w:color="auto"/>
        <w:left w:val="none" w:sz="0" w:space="0" w:color="auto"/>
        <w:bottom w:val="none" w:sz="0" w:space="0" w:color="auto"/>
        <w:right w:val="none" w:sz="0" w:space="0" w:color="auto"/>
      </w:divBdr>
    </w:div>
    <w:div w:id="1193222350">
      <w:bodyDiv w:val="1"/>
      <w:marLeft w:val="0"/>
      <w:marRight w:val="0"/>
      <w:marTop w:val="0"/>
      <w:marBottom w:val="0"/>
      <w:divBdr>
        <w:top w:val="none" w:sz="0" w:space="0" w:color="auto"/>
        <w:left w:val="none" w:sz="0" w:space="0" w:color="auto"/>
        <w:bottom w:val="none" w:sz="0" w:space="0" w:color="auto"/>
        <w:right w:val="none" w:sz="0" w:space="0" w:color="auto"/>
      </w:divBdr>
    </w:div>
    <w:div w:id="1243105774">
      <w:bodyDiv w:val="1"/>
      <w:marLeft w:val="0"/>
      <w:marRight w:val="0"/>
      <w:marTop w:val="0"/>
      <w:marBottom w:val="0"/>
      <w:divBdr>
        <w:top w:val="none" w:sz="0" w:space="0" w:color="auto"/>
        <w:left w:val="none" w:sz="0" w:space="0" w:color="auto"/>
        <w:bottom w:val="none" w:sz="0" w:space="0" w:color="auto"/>
        <w:right w:val="none" w:sz="0" w:space="0" w:color="auto"/>
      </w:divBdr>
    </w:div>
    <w:div w:id="1287541980">
      <w:bodyDiv w:val="1"/>
      <w:marLeft w:val="0"/>
      <w:marRight w:val="0"/>
      <w:marTop w:val="0"/>
      <w:marBottom w:val="0"/>
      <w:divBdr>
        <w:top w:val="none" w:sz="0" w:space="0" w:color="auto"/>
        <w:left w:val="none" w:sz="0" w:space="0" w:color="auto"/>
        <w:bottom w:val="none" w:sz="0" w:space="0" w:color="auto"/>
        <w:right w:val="none" w:sz="0" w:space="0" w:color="auto"/>
      </w:divBdr>
    </w:div>
    <w:div w:id="1595437251">
      <w:bodyDiv w:val="1"/>
      <w:marLeft w:val="0"/>
      <w:marRight w:val="0"/>
      <w:marTop w:val="0"/>
      <w:marBottom w:val="0"/>
      <w:divBdr>
        <w:top w:val="none" w:sz="0" w:space="0" w:color="auto"/>
        <w:left w:val="none" w:sz="0" w:space="0" w:color="auto"/>
        <w:bottom w:val="none" w:sz="0" w:space="0" w:color="auto"/>
        <w:right w:val="none" w:sz="0" w:space="0" w:color="auto"/>
      </w:divBdr>
    </w:div>
    <w:div w:id="1677616396">
      <w:bodyDiv w:val="1"/>
      <w:marLeft w:val="0"/>
      <w:marRight w:val="0"/>
      <w:marTop w:val="0"/>
      <w:marBottom w:val="0"/>
      <w:divBdr>
        <w:top w:val="none" w:sz="0" w:space="0" w:color="auto"/>
        <w:left w:val="none" w:sz="0" w:space="0" w:color="auto"/>
        <w:bottom w:val="none" w:sz="0" w:space="0" w:color="auto"/>
        <w:right w:val="none" w:sz="0" w:space="0" w:color="auto"/>
      </w:divBdr>
    </w:div>
    <w:div w:id="1757286157">
      <w:bodyDiv w:val="1"/>
      <w:marLeft w:val="0"/>
      <w:marRight w:val="0"/>
      <w:marTop w:val="0"/>
      <w:marBottom w:val="0"/>
      <w:divBdr>
        <w:top w:val="none" w:sz="0" w:space="0" w:color="auto"/>
        <w:left w:val="none" w:sz="0" w:space="0" w:color="auto"/>
        <w:bottom w:val="none" w:sz="0" w:space="0" w:color="auto"/>
        <w:right w:val="none" w:sz="0" w:space="0" w:color="auto"/>
      </w:divBdr>
    </w:div>
    <w:div w:id="1760522471">
      <w:bodyDiv w:val="1"/>
      <w:marLeft w:val="0"/>
      <w:marRight w:val="0"/>
      <w:marTop w:val="0"/>
      <w:marBottom w:val="0"/>
      <w:divBdr>
        <w:top w:val="none" w:sz="0" w:space="0" w:color="auto"/>
        <w:left w:val="none" w:sz="0" w:space="0" w:color="auto"/>
        <w:bottom w:val="none" w:sz="0" w:space="0" w:color="auto"/>
        <w:right w:val="none" w:sz="0" w:space="0" w:color="auto"/>
      </w:divBdr>
    </w:div>
    <w:div w:id="1855340351">
      <w:bodyDiv w:val="1"/>
      <w:marLeft w:val="0"/>
      <w:marRight w:val="0"/>
      <w:marTop w:val="0"/>
      <w:marBottom w:val="0"/>
      <w:divBdr>
        <w:top w:val="none" w:sz="0" w:space="0" w:color="auto"/>
        <w:left w:val="none" w:sz="0" w:space="0" w:color="auto"/>
        <w:bottom w:val="none" w:sz="0" w:space="0" w:color="auto"/>
        <w:right w:val="none" w:sz="0" w:space="0" w:color="auto"/>
      </w:divBdr>
    </w:div>
    <w:div w:id="1894732283">
      <w:bodyDiv w:val="1"/>
      <w:marLeft w:val="0"/>
      <w:marRight w:val="0"/>
      <w:marTop w:val="0"/>
      <w:marBottom w:val="0"/>
      <w:divBdr>
        <w:top w:val="none" w:sz="0" w:space="0" w:color="auto"/>
        <w:left w:val="none" w:sz="0" w:space="0" w:color="auto"/>
        <w:bottom w:val="none" w:sz="0" w:space="0" w:color="auto"/>
        <w:right w:val="none" w:sz="0" w:space="0" w:color="auto"/>
      </w:divBdr>
    </w:div>
    <w:div w:id="1956253672">
      <w:bodyDiv w:val="1"/>
      <w:marLeft w:val="0"/>
      <w:marRight w:val="0"/>
      <w:marTop w:val="0"/>
      <w:marBottom w:val="0"/>
      <w:divBdr>
        <w:top w:val="none" w:sz="0" w:space="0" w:color="auto"/>
        <w:left w:val="none" w:sz="0" w:space="0" w:color="auto"/>
        <w:bottom w:val="none" w:sz="0" w:space="0" w:color="auto"/>
        <w:right w:val="none" w:sz="0" w:space="0" w:color="auto"/>
      </w:divBdr>
    </w:div>
    <w:div w:id="1989049580">
      <w:bodyDiv w:val="1"/>
      <w:marLeft w:val="0"/>
      <w:marRight w:val="0"/>
      <w:marTop w:val="0"/>
      <w:marBottom w:val="0"/>
      <w:divBdr>
        <w:top w:val="none" w:sz="0" w:space="0" w:color="auto"/>
        <w:left w:val="none" w:sz="0" w:space="0" w:color="auto"/>
        <w:bottom w:val="none" w:sz="0" w:space="0" w:color="auto"/>
        <w:right w:val="none" w:sz="0" w:space="0" w:color="auto"/>
      </w:divBdr>
    </w:div>
    <w:div w:id="2102529656">
      <w:bodyDiv w:val="1"/>
      <w:marLeft w:val="0"/>
      <w:marRight w:val="0"/>
      <w:marTop w:val="0"/>
      <w:marBottom w:val="0"/>
      <w:divBdr>
        <w:top w:val="none" w:sz="0" w:space="0" w:color="auto"/>
        <w:left w:val="none" w:sz="0" w:space="0" w:color="auto"/>
        <w:bottom w:val="none" w:sz="0" w:space="0" w:color="auto"/>
        <w:right w:val="none" w:sz="0" w:space="0" w:color="auto"/>
      </w:divBdr>
    </w:div>
    <w:div w:id="2111387175">
      <w:bodyDiv w:val="1"/>
      <w:marLeft w:val="0"/>
      <w:marRight w:val="0"/>
      <w:marTop w:val="0"/>
      <w:marBottom w:val="0"/>
      <w:divBdr>
        <w:top w:val="none" w:sz="0" w:space="0" w:color="auto"/>
        <w:left w:val="none" w:sz="0" w:space="0" w:color="auto"/>
        <w:bottom w:val="none" w:sz="0" w:space="0" w:color="auto"/>
        <w:right w:val="none" w:sz="0" w:space="0" w:color="auto"/>
      </w:divBdr>
    </w:div>
    <w:div w:id="214076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xE2ycmsdGlFJ442puaxhLYgtg==">AMUW2mXsFj/lhkTrspOi1AoDWjh6jtFIsewD/DHG8A+3oX4itwTBTF5ftU5iB5/t7rOhLWFsCXoUe1EQUUHs5RPmDN3Ohfms8XWNRZ5ZU1HwzjrSoBcunPb8BiwzJjyOnnzSECNN4044Q4v94mSl0FdrMHIjccWNzNXk/vQEOb0NrWxV4iJTXpkk+NGWRFiTXo9lKngOprZm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D56D79-D5F8-4786-B2E7-50CEABA7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3623</Words>
  <Characters>2066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Євгеній В’ячеславович Гончар</cp:lastModifiedBy>
  <cp:revision>2</cp:revision>
  <dcterms:created xsi:type="dcterms:W3CDTF">2022-11-30T11:52:00Z</dcterms:created>
  <dcterms:modified xsi:type="dcterms:W3CDTF">2022-11-30T11:52:00Z</dcterms:modified>
</cp:coreProperties>
</file>