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F6172" w14:textId="7B48BE63" w:rsidR="00A7613F" w:rsidRPr="004805B7" w:rsidRDefault="004805B7" w:rsidP="001B5F5B">
      <w:pPr>
        <w:spacing w:line="0" w:lineRule="atLeast"/>
        <w:jc w:val="center"/>
        <w:rPr>
          <w:b/>
          <w:sz w:val="22"/>
          <w:lang w:val="ru-RU"/>
        </w:rPr>
      </w:pPr>
      <w:r>
        <w:rPr>
          <w:b/>
          <w:sz w:val="22"/>
          <w:lang w:val="uk"/>
        </w:rPr>
        <w:t xml:space="preserve">План залучення зацікавлених сторін - </w:t>
      </w:r>
      <w:proofErr w:type="spellStart"/>
      <w:r>
        <w:rPr>
          <w:b/>
          <w:sz w:val="22"/>
          <w:lang w:val="uk"/>
        </w:rPr>
        <w:t>проєкт</w:t>
      </w:r>
      <w:proofErr w:type="spellEnd"/>
      <w:r>
        <w:rPr>
          <w:b/>
          <w:sz w:val="22"/>
          <w:lang w:val="uk"/>
        </w:rPr>
        <w:t xml:space="preserve"> HEAL</w:t>
      </w:r>
    </w:p>
    <w:p w14:paraId="3E3A0F2E" w14:textId="77777777" w:rsidR="00A7613F" w:rsidRPr="004805B7" w:rsidRDefault="004805B7" w:rsidP="00A7613F">
      <w:pPr>
        <w:spacing w:line="20" w:lineRule="exact"/>
        <w:rPr>
          <w:rFonts w:ascii="Times New Roman" w:eastAsia="Times New Roman" w:hAnsi="Times New Roman"/>
          <w:sz w:val="24"/>
          <w:lang w:val="ru-RU"/>
        </w:rPr>
      </w:pPr>
      <w:r>
        <w:rPr>
          <w:b/>
          <w:noProof/>
          <w:sz w:val="22"/>
          <w:lang w:val="uk-UA" w:eastAsia="uk-UA"/>
        </w:rPr>
        <w:drawing>
          <wp:anchor distT="0" distB="0" distL="114300" distR="114300" simplePos="0" relativeHeight="251658240" behindDoc="1" locked="0" layoutInCell="1" allowOverlap="1" wp14:anchorId="5C808ED0" wp14:editId="4AF3B879">
            <wp:simplePos x="0" y="0"/>
            <wp:positionH relativeFrom="column">
              <wp:posOffset>-17145</wp:posOffset>
            </wp:positionH>
            <wp:positionV relativeFrom="paragraph">
              <wp:posOffset>31115</wp:posOffset>
            </wp:positionV>
            <wp:extent cx="5981065" cy="889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638666"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981065" cy="8890"/>
                    </a:xfrm>
                    <a:prstGeom prst="rect">
                      <a:avLst/>
                    </a:prstGeom>
                    <a:noFill/>
                  </pic:spPr>
                </pic:pic>
              </a:graphicData>
            </a:graphic>
            <wp14:sizeRelH relativeFrom="page">
              <wp14:pctWidth>0</wp14:pctWidth>
            </wp14:sizeRelH>
            <wp14:sizeRelV relativeFrom="page">
              <wp14:pctHeight>0</wp14:pctHeight>
            </wp14:sizeRelV>
          </wp:anchor>
        </w:drawing>
      </w:r>
    </w:p>
    <w:p w14:paraId="54653D76" w14:textId="77777777" w:rsidR="00A7613F" w:rsidRPr="004805B7" w:rsidRDefault="00A7613F" w:rsidP="00A7613F">
      <w:pPr>
        <w:spacing w:line="254" w:lineRule="auto"/>
        <w:jc w:val="both"/>
        <w:rPr>
          <w:sz w:val="24"/>
          <w:szCs w:val="24"/>
          <w:lang w:val="ru-RU"/>
        </w:rPr>
      </w:pPr>
    </w:p>
    <w:p w14:paraId="4AF3CB55" w14:textId="77777777" w:rsidR="00A7613F" w:rsidRPr="004805B7" w:rsidRDefault="004805B7" w:rsidP="00A7613F">
      <w:pPr>
        <w:spacing w:line="254" w:lineRule="auto"/>
        <w:jc w:val="both"/>
        <w:rPr>
          <w:sz w:val="24"/>
          <w:szCs w:val="24"/>
          <w:lang w:val="uk"/>
        </w:rPr>
      </w:pPr>
      <w:r w:rsidRPr="00FD6B43">
        <w:rPr>
          <w:sz w:val="24"/>
          <w:szCs w:val="24"/>
          <w:lang w:val="uk"/>
        </w:rPr>
        <w:t>В цьому Плані залучення зацікавлених сторін (ПЗЗС) визначаються ос</w:t>
      </w:r>
      <w:r>
        <w:rPr>
          <w:sz w:val="24"/>
          <w:szCs w:val="24"/>
          <w:lang w:val="uk"/>
        </w:rPr>
        <w:t xml:space="preserve">новні зацікавлені сторони та групи, на які впливатиме </w:t>
      </w:r>
      <w:proofErr w:type="spellStart"/>
      <w:r>
        <w:rPr>
          <w:sz w:val="24"/>
          <w:szCs w:val="24"/>
          <w:lang w:val="uk"/>
        </w:rPr>
        <w:t>Проєкт</w:t>
      </w:r>
      <w:proofErr w:type="spellEnd"/>
      <w:r>
        <w:rPr>
          <w:sz w:val="24"/>
          <w:szCs w:val="24"/>
          <w:lang w:val="uk"/>
        </w:rPr>
        <w:t xml:space="preserve"> «</w:t>
      </w:r>
      <w:r w:rsidRPr="00FD6B43">
        <w:rPr>
          <w:sz w:val="24"/>
          <w:szCs w:val="24"/>
          <w:lang w:val="uk"/>
        </w:rPr>
        <w:t>Зміцнен</w:t>
      </w:r>
      <w:r>
        <w:rPr>
          <w:sz w:val="24"/>
          <w:szCs w:val="24"/>
          <w:lang w:val="uk"/>
        </w:rPr>
        <w:t>ня здоров'я та порятунок життів»</w:t>
      </w:r>
      <w:r w:rsidRPr="00FD6B43">
        <w:rPr>
          <w:sz w:val="24"/>
          <w:szCs w:val="24"/>
          <w:lang w:val="uk"/>
        </w:rPr>
        <w:t xml:space="preserve"> (HEAL) (P180245) та описуються їхні інтереси та потреби в залученні у зв'язку з проєктом. У ПЗЗС описується контекст надзвичайної ситуації, в якому повинні застосовуватися відповідні вимоги національного законодавства і Світового банку до взаємодії із зацікавленими сторонами і розкриття інформації, і пропонуються дієві заходи щодо взаємодії, які необхідно вжити в ході реалізації проєкту. ПЗЗС також описує Механізм розгляду і врегулювання скарг на рівні про</w:t>
      </w:r>
      <w:r>
        <w:rPr>
          <w:sz w:val="24"/>
          <w:szCs w:val="24"/>
          <w:lang w:val="uk"/>
        </w:rPr>
        <w:t>єкту, призначений для сприяння отриманню та реагуванню</w:t>
      </w:r>
      <w:r w:rsidRPr="00FD6B43">
        <w:rPr>
          <w:sz w:val="24"/>
          <w:szCs w:val="24"/>
          <w:lang w:val="uk"/>
        </w:rPr>
        <w:t xml:space="preserve"> на зворотний зв'язок та проблеми, пов'язані з проєктом. ПЗЗС може періодично оновлюватися під час реалізації </w:t>
      </w:r>
      <w:r>
        <w:rPr>
          <w:sz w:val="24"/>
          <w:szCs w:val="24"/>
          <w:lang w:val="uk"/>
        </w:rPr>
        <w:t>проєкт</w:t>
      </w:r>
      <w:r w:rsidRPr="00FD6B43">
        <w:rPr>
          <w:sz w:val="24"/>
          <w:szCs w:val="24"/>
          <w:lang w:val="uk"/>
        </w:rPr>
        <w:t>у, щоб гарантувати,</w:t>
      </w:r>
      <w:r>
        <w:rPr>
          <w:sz w:val="24"/>
          <w:szCs w:val="24"/>
          <w:lang w:val="uk"/>
        </w:rPr>
        <w:t xml:space="preserve"> що інформація є послідовною,</w:t>
      </w:r>
      <w:r w:rsidRPr="00FD6B43">
        <w:rPr>
          <w:sz w:val="24"/>
          <w:szCs w:val="24"/>
          <w:lang w:val="uk"/>
        </w:rPr>
        <w:t xml:space="preserve"> методи взаємодії залишаютьс</w:t>
      </w:r>
      <w:r>
        <w:rPr>
          <w:sz w:val="24"/>
          <w:szCs w:val="24"/>
          <w:lang w:val="uk"/>
        </w:rPr>
        <w:t>я доречними та ефективними, і відображені</w:t>
      </w:r>
      <w:r w:rsidRPr="00FD6B43">
        <w:rPr>
          <w:sz w:val="24"/>
          <w:szCs w:val="24"/>
          <w:lang w:val="uk"/>
        </w:rPr>
        <w:t xml:space="preserve"> будь-які суттєві зміни в діяльності проєкту </w:t>
      </w:r>
      <w:r>
        <w:rPr>
          <w:sz w:val="24"/>
          <w:szCs w:val="24"/>
          <w:lang w:val="uk"/>
        </w:rPr>
        <w:t>та графіку його впровадження</w:t>
      </w:r>
      <w:r w:rsidRPr="00FD6B43">
        <w:rPr>
          <w:sz w:val="24"/>
          <w:szCs w:val="24"/>
          <w:lang w:val="uk"/>
        </w:rPr>
        <w:t>.</w:t>
      </w:r>
    </w:p>
    <w:p w14:paraId="05CC5233" w14:textId="77777777" w:rsidR="00A7613F" w:rsidRPr="004805B7" w:rsidRDefault="00A7613F" w:rsidP="00A7613F">
      <w:pPr>
        <w:spacing w:line="254" w:lineRule="auto"/>
        <w:jc w:val="both"/>
        <w:rPr>
          <w:sz w:val="24"/>
          <w:szCs w:val="24"/>
          <w:lang w:val="uk"/>
        </w:rPr>
      </w:pPr>
    </w:p>
    <w:p w14:paraId="0A7A2B99" w14:textId="77777777" w:rsidR="00A7613F" w:rsidRPr="004805B7" w:rsidRDefault="002E36E4" w:rsidP="00A7613F">
      <w:pPr>
        <w:spacing w:line="254" w:lineRule="auto"/>
        <w:jc w:val="both"/>
        <w:rPr>
          <w:sz w:val="24"/>
          <w:szCs w:val="24"/>
          <w:lang w:val="ru-RU"/>
        </w:rPr>
      </w:pPr>
      <w:r>
        <w:rPr>
          <w:b/>
          <w:sz w:val="24"/>
          <w:szCs w:val="24"/>
          <w:lang w:val="uk"/>
        </w:rPr>
        <w:t>Заходи з</w:t>
      </w:r>
      <w:r w:rsidR="004805B7" w:rsidRPr="006C6E88">
        <w:rPr>
          <w:b/>
          <w:sz w:val="24"/>
          <w:szCs w:val="24"/>
          <w:lang w:val="uk"/>
        </w:rPr>
        <w:t xml:space="preserve"> впровадження</w:t>
      </w:r>
      <w:r w:rsidR="004805B7" w:rsidRPr="006C6E88">
        <w:rPr>
          <w:sz w:val="24"/>
          <w:szCs w:val="24"/>
          <w:lang w:val="uk"/>
        </w:rPr>
        <w:t xml:space="preserve"> ПЗЗС, включаючи моніторинг кінцевих і проміжних результатів, буде відноситися до сфери відповідальності Міністерства охорони здоров'я (МОЗ). Міністерство охорони здоров'я здійснюватиме моніторинг реалізації ПЗЗС відповідно до вимог Екологічних та соціальних принципів Світового банку (ЕСП) та забезпечить збір інформації для регулярної звітності за </w:t>
      </w:r>
      <w:r w:rsidR="004805B7">
        <w:rPr>
          <w:sz w:val="24"/>
          <w:szCs w:val="24"/>
          <w:lang w:val="uk"/>
        </w:rPr>
        <w:t>проєкт</w:t>
      </w:r>
      <w:r w:rsidR="004805B7" w:rsidRPr="006C6E88">
        <w:rPr>
          <w:sz w:val="24"/>
          <w:szCs w:val="24"/>
          <w:lang w:val="uk"/>
        </w:rPr>
        <w:t>ом. Це буде включати показники резуль</w:t>
      </w:r>
      <w:r>
        <w:rPr>
          <w:sz w:val="24"/>
          <w:szCs w:val="24"/>
          <w:lang w:val="uk"/>
        </w:rPr>
        <w:t>тативності компонента, що стосую</w:t>
      </w:r>
      <w:r w:rsidR="004805B7" w:rsidRPr="006C6E88">
        <w:rPr>
          <w:sz w:val="24"/>
          <w:szCs w:val="24"/>
          <w:lang w:val="uk"/>
        </w:rPr>
        <w:t>ться ризиків</w:t>
      </w:r>
      <w:r>
        <w:rPr>
          <w:sz w:val="24"/>
          <w:szCs w:val="24"/>
          <w:lang w:val="uk"/>
        </w:rPr>
        <w:t>, пов’язаних з</w:t>
      </w:r>
      <w:r w:rsidR="004805B7" w:rsidRPr="006C6E88">
        <w:rPr>
          <w:sz w:val="24"/>
          <w:szCs w:val="24"/>
          <w:lang w:val="uk"/>
        </w:rPr>
        <w:t xml:space="preserve"> ЕСП</w:t>
      </w:r>
      <w:r>
        <w:rPr>
          <w:sz w:val="24"/>
          <w:szCs w:val="24"/>
          <w:lang w:val="uk"/>
        </w:rPr>
        <w:t>,</w:t>
      </w:r>
      <w:r w:rsidR="004805B7" w:rsidRPr="006C6E88">
        <w:rPr>
          <w:sz w:val="24"/>
          <w:szCs w:val="24"/>
          <w:lang w:val="uk"/>
        </w:rPr>
        <w:t xml:space="preserve"> і звіти</w:t>
      </w:r>
      <w:r>
        <w:rPr>
          <w:sz w:val="24"/>
          <w:szCs w:val="24"/>
          <w:lang w:val="uk"/>
        </w:rPr>
        <w:t xml:space="preserve"> в рамках</w:t>
      </w:r>
      <w:r w:rsidR="004805B7" w:rsidRPr="006C6E88">
        <w:rPr>
          <w:sz w:val="24"/>
          <w:szCs w:val="24"/>
          <w:lang w:val="uk"/>
        </w:rPr>
        <w:t xml:space="preserve"> Механізму розгляду та врегулювання скарг (МРВС). ПЗЗС повинен бути реалізований у поєднанні з Планом екологічних та соціальних зобов'язань проєкту (ПЕСЗ) та Операційним посібником проєкту (ОПП).</w:t>
      </w:r>
    </w:p>
    <w:p w14:paraId="0BE7417C" w14:textId="77777777" w:rsidR="00A7613F" w:rsidRPr="004805B7" w:rsidRDefault="00A7613F" w:rsidP="00A7613F">
      <w:pPr>
        <w:spacing w:line="254" w:lineRule="auto"/>
        <w:jc w:val="both"/>
        <w:rPr>
          <w:sz w:val="24"/>
          <w:szCs w:val="24"/>
          <w:lang w:val="ru-RU"/>
        </w:rPr>
      </w:pPr>
    </w:p>
    <w:p w14:paraId="41C7EEAA" w14:textId="77777777" w:rsidR="00A7613F" w:rsidRPr="004805B7" w:rsidRDefault="004805B7" w:rsidP="009D761A">
      <w:pPr>
        <w:jc w:val="both"/>
        <w:rPr>
          <w:sz w:val="24"/>
          <w:szCs w:val="24"/>
          <w:lang w:val="uk"/>
        </w:rPr>
      </w:pPr>
      <w:r w:rsidRPr="006C6E88">
        <w:rPr>
          <w:b/>
          <w:sz w:val="24"/>
          <w:szCs w:val="24"/>
          <w:lang w:val="uk"/>
        </w:rPr>
        <w:t>Попередні консультації.</w:t>
      </w:r>
      <w:r w:rsidRPr="006C6E88">
        <w:rPr>
          <w:sz w:val="24"/>
          <w:szCs w:val="24"/>
          <w:lang w:val="uk"/>
        </w:rPr>
        <w:t xml:space="preserve"> МОЗ та ГРП організували перший раунд консультацій із зацікавленими сторонами у жовтні 2022 року із закладами охорони здоров'я центрального, місцевого та регіонального рівнів, представниками місцевого самоврядування та різними НУО, щоб отримати зворотний зв'язок щодо потенційної діяльності проєкту та технічного </w:t>
      </w:r>
      <w:proofErr w:type="spellStart"/>
      <w:r>
        <w:rPr>
          <w:sz w:val="24"/>
          <w:szCs w:val="24"/>
          <w:lang w:val="uk"/>
        </w:rPr>
        <w:t>проєкт</w:t>
      </w:r>
      <w:r w:rsidRPr="006C6E88">
        <w:rPr>
          <w:sz w:val="24"/>
          <w:szCs w:val="24"/>
          <w:lang w:val="uk"/>
        </w:rPr>
        <w:t>ування</w:t>
      </w:r>
      <w:proofErr w:type="spellEnd"/>
      <w:r w:rsidRPr="006C6E88">
        <w:rPr>
          <w:sz w:val="24"/>
          <w:szCs w:val="24"/>
          <w:lang w:val="uk"/>
        </w:rPr>
        <w:t xml:space="preserve"> його компонентів. Консультації проводилися в онлайн ре</w:t>
      </w:r>
      <w:r w:rsidR="002E36E4">
        <w:rPr>
          <w:sz w:val="24"/>
          <w:szCs w:val="24"/>
          <w:lang w:val="uk"/>
        </w:rPr>
        <w:t>жимі, зважаючи на значний рівень</w:t>
      </w:r>
      <w:r w:rsidRPr="006C6E88">
        <w:rPr>
          <w:sz w:val="24"/>
          <w:szCs w:val="24"/>
          <w:lang w:val="uk"/>
        </w:rPr>
        <w:t xml:space="preserve"> нестабільності, пов'язаної з </w:t>
      </w:r>
      <w:r w:rsidR="002E36E4">
        <w:rPr>
          <w:sz w:val="24"/>
          <w:szCs w:val="24"/>
          <w:lang w:val="uk"/>
        </w:rPr>
        <w:t>російським вторгненням</w:t>
      </w:r>
      <w:r w:rsidRPr="006C6E88">
        <w:rPr>
          <w:sz w:val="24"/>
          <w:szCs w:val="24"/>
          <w:lang w:val="uk"/>
        </w:rPr>
        <w:t>, і триваючи</w:t>
      </w:r>
      <w:r w:rsidR="002E36E4">
        <w:rPr>
          <w:sz w:val="24"/>
          <w:szCs w:val="24"/>
          <w:lang w:val="uk"/>
        </w:rPr>
        <w:t>м поширенням COVID-19 в Україні. В консультаціях</w:t>
      </w:r>
      <w:r w:rsidRPr="006C6E88">
        <w:rPr>
          <w:sz w:val="24"/>
          <w:szCs w:val="24"/>
          <w:lang w:val="uk"/>
        </w:rPr>
        <w:t xml:space="preserve"> взяли участь 100 осіб. </w:t>
      </w:r>
    </w:p>
    <w:p w14:paraId="2E1BC793" w14:textId="77777777" w:rsidR="00A7613F" w:rsidRPr="009D761A" w:rsidRDefault="004805B7" w:rsidP="009D761A">
      <w:pPr>
        <w:jc w:val="both"/>
        <w:rPr>
          <w:sz w:val="24"/>
          <w:szCs w:val="24"/>
          <w:lang w:val="uk"/>
        </w:rPr>
      </w:pPr>
      <w:r w:rsidRPr="00576A23">
        <w:rPr>
          <w:sz w:val="24"/>
          <w:szCs w:val="24"/>
          <w:lang w:val="uk"/>
        </w:rPr>
        <w:t xml:space="preserve">ГРП використовувала аналогічні підходи при підготовці </w:t>
      </w:r>
      <w:r>
        <w:rPr>
          <w:sz w:val="24"/>
          <w:szCs w:val="24"/>
          <w:lang w:val="uk"/>
        </w:rPr>
        <w:t>проєкт</w:t>
      </w:r>
      <w:r w:rsidRPr="00576A23">
        <w:rPr>
          <w:sz w:val="24"/>
          <w:szCs w:val="24"/>
          <w:lang w:val="uk"/>
        </w:rPr>
        <w:t>у вакцинації проти COVID-19 і знайома з проведенням регулярних консультацій із зацікавленими сторонами в онлайн режимі. Весь зворотний зв'язок, отриманий в ході консультацій, буде проаналізований і врахований при доопрацюванні дизайну проєкту. Особлива увага в ході обговорення була приділена компоненту підтримки психічного здоров'я, який терміново необхідний країні через триваючі негативні наслідки війни для населення. Серед інших важливих отриманих відгуків була чітка вимога щодо створення та підготовки мобільних бригад, які надаватимуть основні медичні послуги та проводитимуть лабораторні дослідження [у деокупованих районах], а також створення регіональних центрів психічного здоров'я.</w:t>
      </w:r>
      <w:r w:rsidR="009D761A">
        <w:rPr>
          <w:sz w:val="24"/>
          <w:szCs w:val="24"/>
          <w:lang w:val="uk"/>
        </w:rPr>
        <w:t xml:space="preserve"> </w:t>
      </w:r>
      <w:r>
        <w:rPr>
          <w:sz w:val="24"/>
          <w:szCs w:val="24"/>
          <w:lang w:val="uk"/>
        </w:rPr>
        <w:t>Консул</w:t>
      </w:r>
      <w:r w:rsidR="002E36E4">
        <w:rPr>
          <w:sz w:val="24"/>
          <w:szCs w:val="24"/>
          <w:lang w:val="uk"/>
        </w:rPr>
        <w:t>ьтації будуть проводитися</w:t>
      </w:r>
      <w:r>
        <w:rPr>
          <w:sz w:val="24"/>
          <w:szCs w:val="24"/>
          <w:lang w:val="uk"/>
        </w:rPr>
        <w:t xml:space="preserve"> регулярно на</w:t>
      </w:r>
      <w:r w:rsidR="002E36E4">
        <w:rPr>
          <w:sz w:val="24"/>
          <w:szCs w:val="24"/>
          <w:lang w:val="uk"/>
        </w:rPr>
        <w:t xml:space="preserve"> більш пізніх етапах проєкту та/або на запит</w:t>
      </w:r>
      <w:r>
        <w:rPr>
          <w:sz w:val="24"/>
          <w:szCs w:val="24"/>
          <w:lang w:val="uk"/>
        </w:rPr>
        <w:t xml:space="preserve"> зацікавлених сторін. </w:t>
      </w:r>
    </w:p>
    <w:p w14:paraId="7AC427BE" w14:textId="77777777" w:rsidR="00A7613F" w:rsidRPr="009D761A" w:rsidRDefault="00A7613F" w:rsidP="00A7613F">
      <w:pPr>
        <w:spacing w:after="160" w:line="259" w:lineRule="auto"/>
        <w:rPr>
          <w:b/>
          <w:sz w:val="22"/>
          <w:lang w:val="uk"/>
        </w:rPr>
      </w:pPr>
    </w:p>
    <w:p w14:paraId="52359FF4" w14:textId="77777777" w:rsidR="00A7613F" w:rsidRDefault="004805B7" w:rsidP="00A7613F">
      <w:pPr>
        <w:spacing w:after="160" w:line="259" w:lineRule="auto"/>
        <w:rPr>
          <w:b/>
          <w:sz w:val="22"/>
        </w:rPr>
      </w:pPr>
      <w:r>
        <w:rPr>
          <w:b/>
          <w:sz w:val="22"/>
          <w:lang w:val="uk"/>
        </w:rPr>
        <w:lastRenderedPageBreak/>
        <w:t>Короткий опис проєкту</w:t>
      </w:r>
    </w:p>
    <w:tbl>
      <w:tblPr>
        <w:tblStyle w:val="a5"/>
        <w:tblW w:w="0" w:type="auto"/>
        <w:tblLook w:val="04A0" w:firstRow="1" w:lastRow="0" w:firstColumn="1" w:lastColumn="0" w:noHBand="0" w:noVBand="1"/>
      </w:tblPr>
      <w:tblGrid>
        <w:gridCol w:w="1615"/>
        <w:gridCol w:w="7735"/>
      </w:tblGrid>
      <w:tr w:rsidR="009E0D30" w14:paraId="0DE3B91C" w14:textId="77777777" w:rsidTr="00CB0430">
        <w:tc>
          <w:tcPr>
            <w:tcW w:w="1615" w:type="dxa"/>
          </w:tcPr>
          <w:p w14:paraId="6E463E43" w14:textId="77777777" w:rsidR="00A7613F" w:rsidRDefault="004805B7" w:rsidP="00CB0430">
            <w:pPr>
              <w:spacing w:after="160" w:line="259" w:lineRule="auto"/>
              <w:rPr>
                <w:b/>
                <w:sz w:val="22"/>
              </w:rPr>
            </w:pPr>
            <w:r>
              <w:rPr>
                <w:b/>
                <w:sz w:val="22"/>
                <w:lang w:val="uk"/>
              </w:rPr>
              <w:t>Проєкт</w:t>
            </w:r>
          </w:p>
        </w:tc>
        <w:tc>
          <w:tcPr>
            <w:tcW w:w="7735" w:type="dxa"/>
          </w:tcPr>
          <w:p w14:paraId="17CF7C64" w14:textId="77777777" w:rsidR="00A7613F" w:rsidRDefault="00CD5994" w:rsidP="00CB0430">
            <w:pPr>
              <w:spacing w:after="160" w:line="259" w:lineRule="auto"/>
              <w:rPr>
                <w:b/>
                <w:sz w:val="22"/>
              </w:rPr>
            </w:pPr>
            <w:r>
              <w:rPr>
                <w:rFonts w:asciiTheme="minorHAnsi" w:hAnsiTheme="minorHAnsi" w:cstheme="minorHAnsi"/>
                <w:noProof/>
                <w:sz w:val="22"/>
                <w:szCs w:val="22"/>
                <w:lang w:val="uk"/>
              </w:rPr>
              <w:t>Проєкт «</w:t>
            </w:r>
            <w:r w:rsidR="004805B7">
              <w:rPr>
                <w:rFonts w:asciiTheme="minorHAnsi" w:hAnsiTheme="minorHAnsi" w:cstheme="minorHAnsi"/>
                <w:noProof/>
                <w:sz w:val="22"/>
                <w:szCs w:val="22"/>
                <w:lang w:val="uk"/>
              </w:rPr>
              <w:t>Зміцнен</w:t>
            </w:r>
            <w:r>
              <w:rPr>
                <w:rFonts w:asciiTheme="minorHAnsi" w:hAnsiTheme="minorHAnsi" w:cstheme="minorHAnsi"/>
                <w:noProof/>
                <w:sz w:val="22"/>
                <w:szCs w:val="22"/>
                <w:lang w:val="uk"/>
              </w:rPr>
              <w:t>ня здоров'я та порятунок життів»</w:t>
            </w:r>
            <w:r w:rsidR="004805B7">
              <w:rPr>
                <w:rFonts w:asciiTheme="minorHAnsi" w:hAnsiTheme="minorHAnsi" w:cstheme="minorHAnsi"/>
                <w:noProof/>
                <w:sz w:val="22"/>
                <w:szCs w:val="22"/>
                <w:lang w:val="uk"/>
              </w:rPr>
              <w:t xml:space="preserve"> (HEAL) (P180245)</w:t>
            </w:r>
          </w:p>
        </w:tc>
      </w:tr>
      <w:tr w:rsidR="009E0D30" w:rsidRPr="004805B7" w14:paraId="02678F67" w14:textId="77777777" w:rsidTr="00CB0430">
        <w:tc>
          <w:tcPr>
            <w:tcW w:w="1615" w:type="dxa"/>
          </w:tcPr>
          <w:p w14:paraId="74412429" w14:textId="77777777" w:rsidR="00A7613F" w:rsidRDefault="004805B7" w:rsidP="00CB0430">
            <w:pPr>
              <w:spacing w:after="160" w:line="259" w:lineRule="auto"/>
              <w:rPr>
                <w:b/>
                <w:sz w:val="22"/>
              </w:rPr>
            </w:pPr>
            <w:r>
              <w:rPr>
                <w:b/>
                <w:sz w:val="22"/>
                <w:lang w:val="uk"/>
              </w:rPr>
              <w:t>ЦПОР</w:t>
            </w:r>
          </w:p>
        </w:tc>
        <w:tc>
          <w:tcPr>
            <w:tcW w:w="7735" w:type="dxa"/>
          </w:tcPr>
          <w:p w14:paraId="0215338E" w14:textId="77777777" w:rsidR="00A7613F" w:rsidRPr="004805B7" w:rsidRDefault="004805B7" w:rsidP="00CB0430">
            <w:pPr>
              <w:spacing w:after="160" w:line="259" w:lineRule="auto"/>
              <w:rPr>
                <w:b/>
                <w:sz w:val="22"/>
                <w:lang w:val="ru-RU"/>
              </w:rPr>
            </w:pPr>
            <w:r>
              <w:rPr>
                <w:rFonts w:asciiTheme="minorHAnsi" w:hAnsiTheme="minorHAnsi"/>
                <w:noProof/>
                <w:sz w:val="22"/>
                <w:szCs w:val="18"/>
                <w:lang w:val="uk"/>
              </w:rPr>
              <w:t>Розширення доступу до основних медичних послуг та підвищення ефективності та якості надання послуг</w:t>
            </w:r>
          </w:p>
        </w:tc>
      </w:tr>
      <w:tr w:rsidR="009E0D30" w:rsidRPr="004805B7" w14:paraId="5226763D" w14:textId="77777777" w:rsidTr="00CB0430">
        <w:tc>
          <w:tcPr>
            <w:tcW w:w="1615" w:type="dxa"/>
          </w:tcPr>
          <w:p w14:paraId="59F51A77" w14:textId="77777777" w:rsidR="00A7613F" w:rsidRDefault="004805B7" w:rsidP="00CB0430">
            <w:pPr>
              <w:spacing w:after="160" w:line="259" w:lineRule="auto"/>
              <w:rPr>
                <w:b/>
                <w:sz w:val="22"/>
              </w:rPr>
            </w:pPr>
            <w:r>
              <w:rPr>
                <w:b/>
                <w:sz w:val="22"/>
                <w:lang w:val="uk"/>
              </w:rPr>
              <w:t>Діяльність</w:t>
            </w:r>
          </w:p>
        </w:tc>
        <w:tc>
          <w:tcPr>
            <w:tcW w:w="7735" w:type="dxa"/>
          </w:tcPr>
          <w:p w14:paraId="2B0532F9" w14:textId="77777777" w:rsidR="00A7613F" w:rsidRPr="004805B7" w:rsidRDefault="004805B7" w:rsidP="00CB0430">
            <w:pPr>
              <w:rPr>
                <w:rFonts w:cs="Calibri"/>
                <w:color w:val="000000" w:themeColor="text1"/>
                <w:sz w:val="22"/>
                <w:szCs w:val="22"/>
                <w:lang w:val="ru-RU"/>
              </w:rPr>
            </w:pPr>
            <w:r w:rsidRPr="00FD6B43">
              <w:rPr>
                <w:rFonts w:cs="Calibri"/>
                <w:b/>
                <w:color w:val="000000" w:themeColor="text1"/>
                <w:sz w:val="22"/>
                <w:szCs w:val="22"/>
                <w:lang w:val="uk"/>
              </w:rPr>
              <w:t>Компонент 1:</w:t>
            </w:r>
            <w:r w:rsidRPr="6D4F866A">
              <w:rPr>
                <w:rFonts w:cs="Calibri"/>
                <w:i/>
                <w:iCs/>
                <w:color w:val="000000" w:themeColor="text1"/>
                <w:sz w:val="22"/>
                <w:szCs w:val="22"/>
                <w:lang w:val="uk"/>
              </w:rPr>
              <w:t xml:space="preserve"> Задоволення нових потреб</w:t>
            </w:r>
            <w:r w:rsidR="00CD5994">
              <w:rPr>
                <w:rFonts w:cs="Calibri"/>
                <w:i/>
                <w:iCs/>
                <w:color w:val="000000" w:themeColor="text1"/>
                <w:sz w:val="22"/>
                <w:szCs w:val="22"/>
                <w:lang w:val="uk"/>
              </w:rPr>
              <w:t xml:space="preserve"> в секторі охорони здоров'я щодо</w:t>
            </w:r>
            <w:r w:rsidRPr="6D4F866A">
              <w:rPr>
                <w:rFonts w:cs="Calibri"/>
                <w:i/>
                <w:iCs/>
                <w:color w:val="000000" w:themeColor="text1"/>
                <w:sz w:val="22"/>
                <w:szCs w:val="22"/>
                <w:lang w:val="uk"/>
              </w:rPr>
              <w:t xml:space="preserve"> психічного здоров'я та реабілітації </w:t>
            </w:r>
          </w:p>
          <w:p w14:paraId="0181544D" w14:textId="77777777" w:rsidR="00A7613F" w:rsidRPr="00F81AC2" w:rsidRDefault="004805B7" w:rsidP="00CB0430">
            <w:pPr>
              <w:rPr>
                <w:rFonts w:cs="Calibri"/>
                <w:color w:val="000000" w:themeColor="text1"/>
                <w:sz w:val="22"/>
                <w:szCs w:val="22"/>
              </w:rPr>
            </w:pPr>
            <w:r w:rsidRPr="6D4F866A">
              <w:rPr>
                <w:rFonts w:cs="Calibri"/>
                <w:color w:val="000000" w:themeColor="text1"/>
                <w:sz w:val="22"/>
                <w:szCs w:val="22"/>
                <w:lang w:val="uk"/>
              </w:rPr>
              <w:t xml:space="preserve">Компонент 1.1 Нагальні потреби в сфері охорони психічного здоров'я та реабілітації. До нього включена наступна діяльність: </w:t>
            </w:r>
          </w:p>
          <w:p w14:paraId="598BB948" w14:textId="77777777" w:rsidR="00A7613F" w:rsidRPr="004805B7" w:rsidRDefault="004805B7" w:rsidP="00CB0430">
            <w:pPr>
              <w:pStyle w:val="a3"/>
              <w:numPr>
                <w:ilvl w:val="0"/>
                <w:numId w:val="1"/>
              </w:numPr>
              <w:rPr>
                <w:rFonts w:ascii="Calibri" w:eastAsia="Calibri" w:hAnsi="Calibri" w:cs="Calibri"/>
                <w:color w:val="000000" w:themeColor="text1"/>
                <w:sz w:val="22"/>
                <w:szCs w:val="22"/>
                <w:lang w:val="ru-RU"/>
              </w:rPr>
            </w:pPr>
            <w:r w:rsidRPr="6D4F866A">
              <w:rPr>
                <w:rFonts w:ascii="Calibri" w:eastAsia="Calibri" w:hAnsi="Calibri" w:cs="Calibri"/>
                <w:color w:val="000000" w:themeColor="text1"/>
                <w:sz w:val="22"/>
                <w:szCs w:val="22"/>
                <w:lang w:val="uk"/>
              </w:rPr>
              <w:t>Створення мобільних бригад з охорони психічного здоров'я (ПЗ) і розширення їхньої діяльності</w:t>
            </w:r>
            <w:r w:rsidR="00CD5994">
              <w:rPr>
                <w:rFonts w:ascii="Calibri" w:eastAsia="Calibri" w:hAnsi="Calibri" w:cs="Calibri"/>
                <w:color w:val="000000" w:themeColor="text1"/>
                <w:sz w:val="22"/>
                <w:szCs w:val="22"/>
                <w:lang w:val="uk"/>
              </w:rPr>
              <w:t>;</w:t>
            </w:r>
            <w:r w:rsidRPr="6D4F866A">
              <w:rPr>
                <w:rFonts w:ascii="Calibri" w:eastAsia="Calibri" w:hAnsi="Calibri" w:cs="Calibri"/>
                <w:color w:val="000000" w:themeColor="text1"/>
                <w:sz w:val="22"/>
                <w:szCs w:val="22"/>
                <w:lang w:val="uk"/>
              </w:rPr>
              <w:t xml:space="preserve"> </w:t>
            </w:r>
          </w:p>
          <w:p w14:paraId="604FD88C" w14:textId="77777777" w:rsidR="00A7613F" w:rsidRPr="004805B7" w:rsidRDefault="004805B7" w:rsidP="00CB0430">
            <w:pPr>
              <w:pStyle w:val="a3"/>
              <w:numPr>
                <w:ilvl w:val="0"/>
                <w:numId w:val="1"/>
              </w:numPr>
              <w:rPr>
                <w:rFonts w:ascii="Calibri" w:eastAsia="Calibri" w:hAnsi="Calibri" w:cs="Calibri"/>
                <w:color w:val="000000" w:themeColor="text1"/>
                <w:sz w:val="22"/>
                <w:szCs w:val="22"/>
                <w:lang w:val="ru-RU"/>
              </w:rPr>
            </w:pPr>
            <w:r w:rsidRPr="6D4F866A">
              <w:rPr>
                <w:rFonts w:ascii="Calibri" w:eastAsia="Calibri" w:hAnsi="Calibri" w:cs="Calibri"/>
                <w:color w:val="000000" w:themeColor="text1"/>
                <w:sz w:val="22"/>
                <w:szCs w:val="22"/>
                <w:lang w:val="uk"/>
              </w:rPr>
              <w:t>Розробка моделі ПЗ на місцевому рівні та підтримка створення місцевих центрів психічного здоров'я</w:t>
            </w:r>
            <w:r w:rsidR="00CD5994">
              <w:rPr>
                <w:rFonts w:ascii="Calibri" w:eastAsia="Calibri" w:hAnsi="Calibri" w:cs="Calibri"/>
                <w:color w:val="000000" w:themeColor="text1"/>
                <w:sz w:val="22"/>
                <w:szCs w:val="22"/>
                <w:lang w:val="uk"/>
              </w:rPr>
              <w:t>;</w:t>
            </w:r>
            <w:r w:rsidRPr="6D4F866A">
              <w:rPr>
                <w:rFonts w:ascii="Calibri" w:eastAsia="Calibri" w:hAnsi="Calibri" w:cs="Calibri"/>
                <w:color w:val="000000" w:themeColor="text1"/>
                <w:sz w:val="22"/>
                <w:szCs w:val="22"/>
                <w:lang w:val="uk"/>
              </w:rPr>
              <w:t xml:space="preserve"> </w:t>
            </w:r>
          </w:p>
          <w:p w14:paraId="72334C8C" w14:textId="77777777" w:rsidR="00A7613F" w:rsidRPr="004805B7" w:rsidRDefault="004805B7" w:rsidP="00CB0430">
            <w:pPr>
              <w:pStyle w:val="a3"/>
              <w:numPr>
                <w:ilvl w:val="0"/>
                <w:numId w:val="1"/>
              </w:numPr>
              <w:rPr>
                <w:rFonts w:ascii="Calibri" w:eastAsia="Calibri" w:hAnsi="Calibri" w:cs="Calibri"/>
                <w:color w:val="000000" w:themeColor="text1"/>
                <w:sz w:val="22"/>
                <w:szCs w:val="22"/>
                <w:lang w:val="ru-RU"/>
              </w:rPr>
            </w:pPr>
            <w:r w:rsidRPr="6D4F866A">
              <w:rPr>
                <w:rFonts w:ascii="Calibri" w:eastAsia="Calibri" w:hAnsi="Calibri" w:cs="Calibri"/>
                <w:color w:val="000000" w:themeColor="text1"/>
                <w:sz w:val="22"/>
                <w:szCs w:val="22"/>
                <w:lang w:val="uk"/>
              </w:rPr>
              <w:t>Підтримка розширення нових моделе</w:t>
            </w:r>
            <w:r w:rsidR="00CD5994">
              <w:rPr>
                <w:rFonts w:ascii="Calibri" w:eastAsia="Calibri" w:hAnsi="Calibri" w:cs="Calibri"/>
                <w:color w:val="000000" w:themeColor="text1"/>
                <w:sz w:val="22"/>
                <w:szCs w:val="22"/>
                <w:lang w:val="uk"/>
              </w:rPr>
              <w:t>й реабілітації [амбулаторна -  нова модель</w:t>
            </w:r>
            <w:r w:rsidRPr="6D4F866A">
              <w:rPr>
                <w:rFonts w:ascii="Calibri" w:eastAsia="Calibri" w:hAnsi="Calibri" w:cs="Calibri"/>
                <w:color w:val="000000" w:themeColor="text1"/>
                <w:sz w:val="22"/>
                <w:szCs w:val="22"/>
                <w:lang w:val="uk"/>
              </w:rPr>
              <w:t>, раніше тільки стаціонарне лікування]</w:t>
            </w:r>
            <w:r w:rsidR="00CD5994">
              <w:rPr>
                <w:rFonts w:ascii="Calibri" w:eastAsia="Calibri" w:hAnsi="Calibri" w:cs="Calibri"/>
                <w:color w:val="000000" w:themeColor="text1"/>
                <w:sz w:val="22"/>
                <w:szCs w:val="22"/>
                <w:lang w:val="uk"/>
              </w:rPr>
              <w:t>;</w:t>
            </w:r>
          </w:p>
          <w:p w14:paraId="350C80F5" w14:textId="77777777" w:rsidR="00A7613F" w:rsidRPr="004805B7" w:rsidRDefault="004805B7" w:rsidP="00CB0430">
            <w:pPr>
              <w:pStyle w:val="a3"/>
              <w:numPr>
                <w:ilvl w:val="0"/>
                <w:numId w:val="1"/>
              </w:numPr>
              <w:rPr>
                <w:rFonts w:ascii="Calibri" w:eastAsia="Calibri" w:hAnsi="Calibri" w:cs="Calibri"/>
                <w:color w:val="000000" w:themeColor="text1"/>
                <w:sz w:val="22"/>
                <w:szCs w:val="22"/>
                <w:lang w:val="ru-RU"/>
              </w:rPr>
            </w:pPr>
            <w:r w:rsidRPr="6D4F866A">
              <w:rPr>
                <w:rFonts w:ascii="Calibri" w:eastAsia="Calibri" w:hAnsi="Calibri" w:cs="Calibri"/>
                <w:color w:val="000000" w:themeColor="text1"/>
                <w:sz w:val="22"/>
                <w:szCs w:val="22"/>
                <w:lang w:val="uk"/>
              </w:rPr>
              <w:t>Підтримка навчання медичного персоналу в галузі психічного здоров'я та реабілітації</w:t>
            </w:r>
            <w:r w:rsidR="00CD5994">
              <w:rPr>
                <w:rFonts w:ascii="Calibri" w:eastAsia="Calibri" w:hAnsi="Calibri" w:cs="Calibri"/>
                <w:color w:val="000000" w:themeColor="text1"/>
                <w:sz w:val="22"/>
                <w:szCs w:val="22"/>
                <w:lang w:val="uk"/>
              </w:rPr>
              <w:t>;</w:t>
            </w:r>
            <w:r w:rsidRPr="6D4F866A">
              <w:rPr>
                <w:rFonts w:ascii="Calibri" w:eastAsia="Calibri" w:hAnsi="Calibri" w:cs="Calibri"/>
                <w:color w:val="000000" w:themeColor="text1"/>
                <w:sz w:val="22"/>
                <w:szCs w:val="22"/>
                <w:lang w:val="uk"/>
              </w:rPr>
              <w:t xml:space="preserve"> </w:t>
            </w:r>
          </w:p>
          <w:p w14:paraId="3BBC18A3" w14:textId="77777777" w:rsidR="00A7613F" w:rsidRPr="004805B7" w:rsidRDefault="004805B7" w:rsidP="00CB0430">
            <w:pPr>
              <w:pStyle w:val="a3"/>
              <w:numPr>
                <w:ilvl w:val="0"/>
                <w:numId w:val="1"/>
              </w:numPr>
              <w:rPr>
                <w:rFonts w:ascii="Calibri" w:eastAsia="Calibri" w:hAnsi="Calibri" w:cs="Calibri"/>
                <w:color w:val="000000" w:themeColor="text1"/>
                <w:sz w:val="22"/>
                <w:szCs w:val="22"/>
                <w:lang w:val="ru-RU"/>
              </w:rPr>
            </w:pPr>
            <w:r w:rsidRPr="6D4F866A">
              <w:rPr>
                <w:rFonts w:ascii="Calibri" w:eastAsia="Calibri" w:hAnsi="Calibri" w:cs="Calibri"/>
                <w:color w:val="000000" w:themeColor="text1"/>
                <w:sz w:val="22"/>
                <w:szCs w:val="22"/>
                <w:lang w:val="uk"/>
              </w:rPr>
              <w:t xml:space="preserve">Підтримка розробки </w:t>
            </w:r>
            <w:proofErr w:type="spellStart"/>
            <w:r>
              <w:rPr>
                <w:rFonts w:ascii="Calibri" w:eastAsia="Calibri" w:hAnsi="Calibri" w:cs="Calibri"/>
                <w:color w:val="000000" w:themeColor="text1"/>
                <w:sz w:val="22"/>
                <w:szCs w:val="22"/>
                <w:lang w:val="uk"/>
              </w:rPr>
              <w:t>проєкт</w:t>
            </w:r>
            <w:r w:rsidRPr="6D4F866A">
              <w:rPr>
                <w:rFonts w:ascii="Calibri" w:eastAsia="Calibri" w:hAnsi="Calibri" w:cs="Calibri"/>
                <w:color w:val="000000" w:themeColor="text1"/>
                <w:sz w:val="22"/>
                <w:szCs w:val="22"/>
                <w:lang w:val="uk"/>
              </w:rPr>
              <w:t>ної</w:t>
            </w:r>
            <w:proofErr w:type="spellEnd"/>
            <w:r w:rsidRPr="6D4F866A">
              <w:rPr>
                <w:rFonts w:ascii="Calibri" w:eastAsia="Calibri" w:hAnsi="Calibri" w:cs="Calibri"/>
                <w:color w:val="000000" w:themeColor="text1"/>
                <w:sz w:val="22"/>
                <w:szCs w:val="22"/>
                <w:lang w:val="uk"/>
              </w:rPr>
              <w:t xml:space="preserve"> та медичної документації для нових центрів психічного здоров'</w:t>
            </w:r>
            <w:r w:rsidR="00CD5994">
              <w:rPr>
                <w:rFonts w:ascii="Calibri" w:eastAsia="Calibri" w:hAnsi="Calibri" w:cs="Calibri"/>
                <w:color w:val="000000" w:themeColor="text1"/>
                <w:sz w:val="22"/>
                <w:szCs w:val="22"/>
                <w:lang w:val="uk"/>
              </w:rPr>
              <w:t>я та реабілітації.</w:t>
            </w:r>
          </w:p>
          <w:p w14:paraId="3A09F2B1" w14:textId="77777777" w:rsidR="00A7613F" w:rsidRPr="00F81AC2" w:rsidRDefault="004805B7" w:rsidP="00CB0430">
            <w:pPr>
              <w:rPr>
                <w:rFonts w:cs="Calibri"/>
                <w:color w:val="000000" w:themeColor="text1"/>
                <w:sz w:val="22"/>
                <w:szCs w:val="22"/>
              </w:rPr>
            </w:pPr>
            <w:r w:rsidRPr="6D4F866A">
              <w:rPr>
                <w:rFonts w:cs="Calibri"/>
                <w:color w:val="000000" w:themeColor="text1"/>
                <w:sz w:val="22"/>
                <w:szCs w:val="22"/>
                <w:lang w:val="uk"/>
              </w:rPr>
              <w:t>Компонент 1.2 Збільшення масштабів надання допомоги в сфері охорони психічного здоров'я та реабілітації. До нього включена наступна діяльність:</w:t>
            </w:r>
          </w:p>
          <w:p w14:paraId="2AB04319" w14:textId="77777777" w:rsidR="00A7613F" w:rsidRPr="004805B7" w:rsidRDefault="004805B7" w:rsidP="00CB0430">
            <w:pPr>
              <w:pStyle w:val="a3"/>
              <w:numPr>
                <w:ilvl w:val="0"/>
                <w:numId w:val="2"/>
              </w:numPr>
              <w:rPr>
                <w:rFonts w:ascii="Calibri" w:eastAsia="Calibri" w:hAnsi="Calibri" w:cs="Calibri"/>
                <w:color w:val="000000" w:themeColor="text1"/>
                <w:sz w:val="22"/>
                <w:szCs w:val="22"/>
                <w:lang w:val="ru-RU"/>
              </w:rPr>
            </w:pPr>
            <w:r w:rsidRPr="6D4F866A">
              <w:rPr>
                <w:rFonts w:ascii="Calibri" w:eastAsia="Calibri" w:hAnsi="Calibri" w:cs="Calibri"/>
                <w:color w:val="000000" w:themeColor="text1"/>
                <w:sz w:val="22"/>
                <w:szCs w:val="22"/>
                <w:lang w:val="uk"/>
              </w:rPr>
              <w:t>Створення (нових або відремонтованих) центрів ПЗ</w:t>
            </w:r>
            <w:r w:rsidR="00CD5994">
              <w:rPr>
                <w:rFonts w:ascii="Calibri" w:eastAsia="Calibri" w:hAnsi="Calibri" w:cs="Calibri"/>
                <w:color w:val="000000" w:themeColor="text1"/>
                <w:sz w:val="22"/>
                <w:szCs w:val="22"/>
                <w:lang w:val="uk"/>
              </w:rPr>
              <w:t>;</w:t>
            </w:r>
            <w:r w:rsidRPr="6D4F866A">
              <w:rPr>
                <w:rFonts w:ascii="Calibri" w:eastAsia="Calibri" w:hAnsi="Calibri" w:cs="Calibri"/>
                <w:color w:val="000000" w:themeColor="text1"/>
                <w:sz w:val="22"/>
                <w:szCs w:val="22"/>
                <w:lang w:val="uk"/>
              </w:rPr>
              <w:t xml:space="preserve"> </w:t>
            </w:r>
          </w:p>
          <w:p w14:paraId="470AE4E8" w14:textId="77777777" w:rsidR="00A7613F" w:rsidRPr="004805B7" w:rsidRDefault="004805B7" w:rsidP="00CB0430">
            <w:pPr>
              <w:pStyle w:val="a3"/>
              <w:numPr>
                <w:ilvl w:val="0"/>
                <w:numId w:val="2"/>
              </w:numPr>
              <w:rPr>
                <w:rFonts w:ascii="Calibri" w:eastAsia="Calibri" w:hAnsi="Calibri" w:cs="Calibri"/>
                <w:color w:val="000000" w:themeColor="text1"/>
                <w:sz w:val="22"/>
                <w:szCs w:val="22"/>
                <w:lang w:val="ru-RU"/>
              </w:rPr>
            </w:pPr>
            <w:r w:rsidRPr="6D4F866A">
              <w:rPr>
                <w:rFonts w:ascii="Calibri" w:eastAsia="Calibri" w:hAnsi="Calibri" w:cs="Calibri"/>
                <w:color w:val="000000" w:themeColor="text1"/>
                <w:sz w:val="22"/>
                <w:szCs w:val="22"/>
                <w:lang w:val="uk"/>
              </w:rPr>
              <w:t>Створення (нових або відремонтованих) реабілітаційних центрів</w:t>
            </w:r>
            <w:r w:rsidR="00CD5994">
              <w:rPr>
                <w:rFonts w:ascii="Calibri" w:eastAsia="Calibri" w:hAnsi="Calibri" w:cs="Calibri"/>
                <w:color w:val="000000" w:themeColor="text1"/>
                <w:sz w:val="22"/>
                <w:szCs w:val="22"/>
                <w:lang w:val="uk"/>
              </w:rPr>
              <w:t>.</w:t>
            </w:r>
          </w:p>
          <w:p w14:paraId="07FC756C" w14:textId="77777777" w:rsidR="00A7613F" w:rsidRPr="004805B7" w:rsidRDefault="00A7613F" w:rsidP="00CB0430">
            <w:pPr>
              <w:spacing w:line="256" w:lineRule="exact"/>
              <w:rPr>
                <w:sz w:val="22"/>
                <w:lang w:val="ru-RU"/>
              </w:rPr>
            </w:pPr>
          </w:p>
          <w:p w14:paraId="7B315B3D" w14:textId="77777777" w:rsidR="00A7613F" w:rsidRPr="004805B7" w:rsidRDefault="004805B7" w:rsidP="00CB0430">
            <w:pPr>
              <w:rPr>
                <w:rFonts w:cs="Calibri"/>
                <w:color w:val="000000" w:themeColor="text1"/>
                <w:sz w:val="22"/>
                <w:szCs w:val="22"/>
                <w:lang w:val="ru-RU"/>
              </w:rPr>
            </w:pPr>
            <w:r w:rsidRPr="00FD6B43">
              <w:rPr>
                <w:rFonts w:cs="Calibri"/>
                <w:b/>
                <w:color w:val="000000" w:themeColor="text1"/>
                <w:sz w:val="22"/>
                <w:szCs w:val="22"/>
                <w:lang w:val="uk"/>
              </w:rPr>
              <w:t>Компонент 2:</w:t>
            </w:r>
            <w:r w:rsidRPr="6D4F866A">
              <w:rPr>
                <w:rFonts w:cs="Calibri"/>
                <w:i/>
                <w:iCs/>
                <w:color w:val="000000" w:themeColor="text1"/>
                <w:sz w:val="22"/>
                <w:szCs w:val="22"/>
                <w:lang w:val="uk"/>
              </w:rPr>
              <w:t xml:space="preserve"> Подальше вдосконалення та зміцнення первинної медико-санітарної допомоги </w:t>
            </w:r>
          </w:p>
          <w:p w14:paraId="2F863D67" w14:textId="77777777" w:rsidR="00A7613F" w:rsidRPr="004805B7" w:rsidRDefault="004805B7" w:rsidP="00CB0430">
            <w:pPr>
              <w:rPr>
                <w:rFonts w:cs="Calibri"/>
                <w:color w:val="000000" w:themeColor="text1"/>
                <w:sz w:val="22"/>
                <w:szCs w:val="22"/>
                <w:lang w:val="ru-RU"/>
              </w:rPr>
            </w:pPr>
            <w:r w:rsidRPr="6D4F866A">
              <w:rPr>
                <w:rFonts w:cs="Calibri"/>
                <w:color w:val="000000" w:themeColor="text1"/>
                <w:sz w:val="22"/>
                <w:szCs w:val="22"/>
                <w:lang w:val="uk"/>
              </w:rPr>
              <w:t>Компонен</w:t>
            </w:r>
            <w:r w:rsidR="00CD5994">
              <w:rPr>
                <w:rFonts w:cs="Calibri"/>
                <w:color w:val="000000" w:themeColor="text1"/>
                <w:sz w:val="22"/>
                <w:szCs w:val="22"/>
                <w:lang w:val="uk"/>
              </w:rPr>
              <w:t>т 2.1 Невідкладне</w:t>
            </w:r>
            <w:r w:rsidRPr="6D4F866A">
              <w:rPr>
                <w:rFonts w:cs="Calibri"/>
                <w:color w:val="000000" w:themeColor="text1"/>
                <w:sz w:val="22"/>
                <w:szCs w:val="22"/>
                <w:lang w:val="uk"/>
              </w:rPr>
              <w:t xml:space="preserve"> зміцнення ПМСД. </w:t>
            </w:r>
          </w:p>
          <w:p w14:paraId="4BEE7734" w14:textId="77777777" w:rsidR="00A7613F" w:rsidRPr="004805B7" w:rsidRDefault="004805B7" w:rsidP="00CB0430">
            <w:pPr>
              <w:pStyle w:val="a3"/>
              <w:numPr>
                <w:ilvl w:val="0"/>
                <w:numId w:val="4"/>
              </w:numPr>
              <w:rPr>
                <w:rFonts w:ascii="Calibri" w:eastAsia="Calibri" w:hAnsi="Calibri" w:cs="Calibri"/>
                <w:color w:val="000000" w:themeColor="text1"/>
                <w:sz w:val="22"/>
                <w:szCs w:val="22"/>
                <w:lang w:val="ru-RU"/>
              </w:rPr>
            </w:pPr>
            <w:r w:rsidRPr="6D4F866A">
              <w:rPr>
                <w:rFonts w:ascii="Calibri" w:eastAsia="Calibri" w:hAnsi="Calibri" w:cs="Calibri"/>
                <w:color w:val="000000" w:themeColor="text1"/>
                <w:sz w:val="22"/>
                <w:szCs w:val="22"/>
                <w:lang w:val="uk"/>
              </w:rPr>
              <w:t>Модернізація ПМСД - закупівля необхідного обладнання та мобільних клінік. Встановлення сонячних панелей для забезпечення альтернативних джерел електроенергії щонайменше у 100 населених пунктах та забезпечення безперебійного електропостачання</w:t>
            </w:r>
            <w:r w:rsidR="000A643D">
              <w:rPr>
                <w:rFonts w:ascii="Calibri" w:eastAsia="Calibri" w:hAnsi="Calibri" w:cs="Calibri"/>
                <w:color w:val="000000" w:themeColor="text1"/>
                <w:sz w:val="22"/>
                <w:szCs w:val="22"/>
                <w:lang w:val="uk"/>
              </w:rPr>
              <w:t>;</w:t>
            </w:r>
            <w:r w:rsidRPr="6D4F866A">
              <w:rPr>
                <w:rFonts w:ascii="Calibri" w:eastAsia="Calibri" w:hAnsi="Calibri" w:cs="Calibri"/>
                <w:color w:val="000000" w:themeColor="text1"/>
                <w:sz w:val="22"/>
                <w:szCs w:val="22"/>
                <w:lang w:val="uk"/>
              </w:rPr>
              <w:t xml:space="preserve"> </w:t>
            </w:r>
          </w:p>
          <w:p w14:paraId="165FD71E" w14:textId="77777777" w:rsidR="00A7613F" w:rsidRPr="004805B7" w:rsidRDefault="004805B7" w:rsidP="00CB0430">
            <w:pPr>
              <w:pStyle w:val="a3"/>
              <w:numPr>
                <w:ilvl w:val="0"/>
                <w:numId w:val="4"/>
              </w:numPr>
              <w:rPr>
                <w:rFonts w:ascii="Calibri" w:eastAsia="Calibri" w:hAnsi="Calibri" w:cs="Calibri"/>
                <w:color w:val="000000" w:themeColor="text1"/>
                <w:sz w:val="22"/>
                <w:szCs w:val="22"/>
                <w:lang w:val="ru-RU"/>
              </w:rPr>
            </w:pPr>
            <w:r w:rsidRPr="00FD6B43">
              <w:rPr>
                <w:rFonts w:ascii="Calibri" w:eastAsia="Calibri" w:hAnsi="Calibri" w:cs="Calibri"/>
                <w:color w:val="000000" w:themeColor="text1"/>
                <w:sz w:val="22"/>
                <w:szCs w:val="22"/>
                <w:lang w:val="uk"/>
              </w:rPr>
              <w:t>Розширення послуг ПМСД для відновлення зв'язку з пацієнтами та усунення перебоїв у наданні послуг (PBC)</w:t>
            </w:r>
            <w:r w:rsidR="000A643D">
              <w:rPr>
                <w:rFonts w:ascii="Calibri" w:eastAsia="Calibri" w:hAnsi="Calibri" w:cs="Calibri"/>
                <w:color w:val="000000" w:themeColor="text1"/>
                <w:sz w:val="22"/>
                <w:szCs w:val="22"/>
                <w:lang w:val="uk"/>
              </w:rPr>
              <w:t>;</w:t>
            </w:r>
          </w:p>
          <w:p w14:paraId="75CC497A" w14:textId="77777777" w:rsidR="00A7613F" w:rsidRPr="004805B7" w:rsidRDefault="004805B7" w:rsidP="00CB0430">
            <w:pPr>
              <w:pStyle w:val="a3"/>
              <w:numPr>
                <w:ilvl w:val="0"/>
                <w:numId w:val="4"/>
              </w:numPr>
              <w:rPr>
                <w:rFonts w:ascii="Calibri" w:eastAsia="Calibri" w:hAnsi="Calibri" w:cs="Calibri"/>
                <w:color w:val="000000" w:themeColor="text1"/>
                <w:sz w:val="22"/>
                <w:szCs w:val="22"/>
                <w:lang w:val="ru-RU"/>
              </w:rPr>
            </w:pPr>
            <w:r w:rsidRPr="00FD6B43">
              <w:rPr>
                <w:rFonts w:ascii="Calibri" w:eastAsia="Calibri" w:hAnsi="Calibri" w:cs="Calibri"/>
                <w:color w:val="000000" w:themeColor="text1"/>
                <w:sz w:val="22"/>
                <w:szCs w:val="22"/>
                <w:lang w:val="uk"/>
              </w:rPr>
              <w:t>Створення мобільних бригад ПМСД для задоволення потреб населення на звільнених територіях (РВС)</w:t>
            </w:r>
            <w:r w:rsidR="000A643D">
              <w:rPr>
                <w:rFonts w:ascii="Calibri" w:eastAsia="Calibri" w:hAnsi="Calibri" w:cs="Calibri"/>
                <w:color w:val="000000" w:themeColor="text1"/>
                <w:sz w:val="22"/>
                <w:szCs w:val="22"/>
                <w:lang w:val="uk"/>
              </w:rPr>
              <w:t>;</w:t>
            </w:r>
          </w:p>
          <w:p w14:paraId="392BB446" w14:textId="77777777" w:rsidR="00A7613F" w:rsidRPr="004805B7" w:rsidRDefault="004805B7" w:rsidP="00CB0430">
            <w:pPr>
              <w:pStyle w:val="a3"/>
              <w:numPr>
                <w:ilvl w:val="0"/>
                <w:numId w:val="4"/>
              </w:numPr>
              <w:rPr>
                <w:rFonts w:ascii="Calibri" w:eastAsia="Calibri" w:hAnsi="Calibri" w:cs="Calibri"/>
                <w:color w:val="000000" w:themeColor="text1"/>
                <w:sz w:val="22"/>
                <w:szCs w:val="22"/>
                <w:lang w:val="ru-RU"/>
              </w:rPr>
            </w:pPr>
            <w:r w:rsidRPr="6D4F866A">
              <w:rPr>
                <w:rFonts w:ascii="Calibri" w:eastAsia="Calibri" w:hAnsi="Calibri" w:cs="Calibri"/>
                <w:color w:val="000000" w:themeColor="text1"/>
                <w:sz w:val="22"/>
                <w:szCs w:val="22"/>
                <w:lang w:val="uk"/>
              </w:rPr>
              <w:t>Розширення доступ до Доступних ліків шляхом включення додаткових лікарських засобів та підвищення референтного порогу для зведення до мінімуму участі у витратах (PBC)</w:t>
            </w:r>
            <w:r w:rsidR="000A643D">
              <w:rPr>
                <w:rFonts w:ascii="Calibri" w:eastAsia="Calibri" w:hAnsi="Calibri" w:cs="Calibri"/>
                <w:color w:val="000000" w:themeColor="text1"/>
                <w:sz w:val="22"/>
                <w:szCs w:val="22"/>
                <w:lang w:val="uk"/>
              </w:rPr>
              <w:t>;</w:t>
            </w:r>
          </w:p>
          <w:p w14:paraId="5CAFAB15" w14:textId="77777777" w:rsidR="00A7613F" w:rsidRPr="004805B7" w:rsidRDefault="004805B7" w:rsidP="00CB0430">
            <w:pPr>
              <w:pStyle w:val="a3"/>
              <w:numPr>
                <w:ilvl w:val="0"/>
                <w:numId w:val="4"/>
              </w:numPr>
              <w:rPr>
                <w:rFonts w:ascii="Calibri" w:eastAsia="Calibri" w:hAnsi="Calibri" w:cs="Calibri"/>
                <w:color w:val="000000" w:themeColor="text1"/>
                <w:sz w:val="22"/>
                <w:szCs w:val="22"/>
                <w:lang w:val="ru-RU"/>
              </w:rPr>
            </w:pPr>
            <w:proofErr w:type="spellStart"/>
            <w:r>
              <w:rPr>
                <w:rFonts w:ascii="Calibri" w:eastAsia="Calibri" w:hAnsi="Calibri" w:cs="Calibri"/>
                <w:color w:val="000000" w:themeColor="text1"/>
                <w:sz w:val="22"/>
                <w:szCs w:val="22"/>
                <w:lang w:val="uk"/>
              </w:rPr>
              <w:t>Проєкт</w:t>
            </w:r>
            <w:r w:rsidRPr="6D4F866A">
              <w:rPr>
                <w:rFonts w:ascii="Calibri" w:eastAsia="Calibri" w:hAnsi="Calibri" w:cs="Calibri"/>
                <w:color w:val="000000" w:themeColor="text1"/>
                <w:sz w:val="22"/>
                <w:szCs w:val="22"/>
                <w:lang w:val="uk"/>
              </w:rPr>
              <w:t>ування</w:t>
            </w:r>
            <w:proofErr w:type="spellEnd"/>
            <w:r w:rsidRPr="6D4F866A">
              <w:rPr>
                <w:rFonts w:ascii="Calibri" w:eastAsia="Calibri" w:hAnsi="Calibri" w:cs="Calibri"/>
                <w:color w:val="000000" w:themeColor="text1"/>
                <w:sz w:val="22"/>
                <w:szCs w:val="22"/>
                <w:lang w:val="uk"/>
              </w:rPr>
              <w:t xml:space="preserve"> нових </w:t>
            </w:r>
            <w:proofErr w:type="spellStart"/>
            <w:r w:rsidRPr="6D4F866A">
              <w:rPr>
                <w:rFonts w:ascii="Calibri" w:eastAsia="Calibri" w:hAnsi="Calibri" w:cs="Calibri"/>
                <w:color w:val="000000" w:themeColor="text1"/>
                <w:sz w:val="22"/>
                <w:szCs w:val="22"/>
                <w:lang w:val="uk"/>
              </w:rPr>
              <w:t>клінік</w:t>
            </w:r>
            <w:proofErr w:type="spellEnd"/>
            <w:r w:rsidRPr="6D4F866A">
              <w:rPr>
                <w:rFonts w:ascii="Calibri" w:eastAsia="Calibri" w:hAnsi="Calibri" w:cs="Calibri"/>
                <w:color w:val="000000" w:themeColor="text1"/>
                <w:sz w:val="22"/>
                <w:szCs w:val="22"/>
                <w:lang w:val="uk"/>
              </w:rPr>
              <w:t xml:space="preserve"> ПМСД з розширеними функціями</w:t>
            </w:r>
            <w:r w:rsidR="000A643D">
              <w:rPr>
                <w:rFonts w:ascii="Calibri" w:eastAsia="Calibri" w:hAnsi="Calibri" w:cs="Calibri"/>
                <w:color w:val="000000" w:themeColor="text1"/>
                <w:sz w:val="22"/>
                <w:szCs w:val="22"/>
                <w:lang w:val="uk"/>
              </w:rPr>
              <w:t>.</w:t>
            </w:r>
          </w:p>
          <w:p w14:paraId="5A4333AC" w14:textId="77777777" w:rsidR="00A7613F" w:rsidRPr="004805B7" w:rsidRDefault="004805B7" w:rsidP="00CB0430">
            <w:pPr>
              <w:rPr>
                <w:rFonts w:cs="Calibri"/>
                <w:color w:val="000000" w:themeColor="text1"/>
                <w:sz w:val="22"/>
                <w:szCs w:val="22"/>
                <w:lang w:val="ru-RU"/>
              </w:rPr>
            </w:pPr>
            <w:r w:rsidRPr="6D4F866A">
              <w:rPr>
                <w:rFonts w:cs="Calibri"/>
                <w:color w:val="000000" w:themeColor="text1"/>
                <w:sz w:val="22"/>
                <w:szCs w:val="22"/>
                <w:lang w:val="uk"/>
              </w:rPr>
              <w:t xml:space="preserve">Компонент </w:t>
            </w:r>
            <w:r w:rsidR="000A643D">
              <w:rPr>
                <w:rFonts w:cs="Calibri"/>
                <w:color w:val="000000" w:themeColor="text1"/>
                <w:sz w:val="22"/>
                <w:szCs w:val="22"/>
                <w:lang w:val="uk"/>
              </w:rPr>
              <w:t>2.2 Збільшення масштабів</w:t>
            </w:r>
            <w:r w:rsidRPr="6D4F866A">
              <w:rPr>
                <w:rFonts w:cs="Calibri"/>
                <w:color w:val="000000" w:themeColor="text1"/>
                <w:sz w:val="22"/>
                <w:szCs w:val="22"/>
                <w:lang w:val="uk"/>
              </w:rPr>
              <w:t xml:space="preserve"> ПМСД. До нього включена наступна діяльність:</w:t>
            </w:r>
          </w:p>
          <w:p w14:paraId="5F222EAA" w14:textId="77777777" w:rsidR="00A7613F" w:rsidRPr="004805B7" w:rsidRDefault="004805B7" w:rsidP="00CB0430">
            <w:pPr>
              <w:pStyle w:val="a3"/>
              <w:numPr>
                <w:ilvl w:val="0"/>
                <w:numId w:val="3"/>
              </w:numPr>
              <w:rPr>
                <w:rFonts w:ascii="Calibri" w:eastAsia="Calibri" w:hAnsi="Calibri" w:cs="Calibri"/>
                <w:color w:val="000000" w:themeColor="text1"/>
                <w:sz w:val="22"/>
                <w:szCs w:val="22"/>
                <w:lang w:val="ru-RU"/>
              </w:rPr>
            </w:pPr>
            <w:r w:rsidRPr="6D4F866A">
              <w:rPr>
                <w:rFonts w:ascii="Calibri" w:eastAsia="Calibri" w:hAnsi="Calibri" w:cs="Calibri"/>
                <w:color w:val="000000" w:themeColor="text1"/>
                <w:sz w:val="22"/>
                <w:szCs w:val="22"/>
                <w:lang w:val="uk"/>
              </w:rPr>
              <w:t>Будівництво нових або реконструкція існуючих об'єктів ПМСД</w:t>
            </w:r>
            <w:r w:rsidR="000A643D">
              <w:rPr>
                <w:rFonts w:ascii="Calibri" w:eastAsia="Calibri" w:hAnsi="Calibri" w:cs="Calibri"/>
                <w:color w:val="000000" w:themeColor="text1"/>
                <w:sz w:val="22"/>
                <w:szCs w:val="22"/>
                <w:lang w:val="uk"/>
              </w:rPr>
              <w:t>;</w:t>
            </w:r>
            <w:r w:rsidRPr="6D4F866A">
              <w:rPr>
                <w:rFonts w:ascii="Calibri" w:eastAsia="Calibri" w:hAnsi="Calibri" w:cs="Calibri"/>
                <w:color w:val="000000" w:themeColor="text1"/>
                <w:sz w:val="22"/>
                <w:szCs w:val="22"/>
                <w:lang w:val="uk"/>
              </w:rPr>
              <w:t xml:space="preserve"> </w:t>
            </w:r>
          </w:p>
          <w:p w14:paraId="3D652027" w14:textId="77777777" w:rsidR="00A7613F" w:rsidRPr="004805B7" w:rsidRDefault="004805B7" w:rsidP="00CB0430">
            <w:pPr>
              <w:pStyle w:val="a3"/>
              <w:numPr>
                <w:ilvl w:val="0"/>
                <w:numId w:val="3"/>
              </w:numPr>
              <w:rPr>
                <w:rFonts w:ascii="Calibri" w:eastAsia="Calibri" w:hAnsi="Calibri" w:cs="Calibri"/>
                <w:color w:val="000000" w:themeColor="text1"/>
                <w:sz w:val="22"/>
                <w:szCs w:val="22"/>
                <w:lang w:val="ru-RU"/>
              </w:rPr>
            </w:pPr>
            <w:r w:rsidRPr="6D4F866A">
              <w:rPr>
                <w:rFonts w:ascii="Calibri" w:eastAsia="Calibri" w:hAnsi="Calibri" w:cs="Calibri"/>
                <w:color w:val="000000" w:themeColor="text1"/>
                <w:sz w:val="22"/>
                <w:szCs w:val="22"/>
                <w:lang w:val="uk"/>
              </w:rPr>
              <w:t>Розширений доступ до послуг</w:t>
            </w:r>
            <w:r w:rsidR="000A643D">
              <w:rPr>
                <w:rFonts w:ascii="Calibri" w:eastAsia="Calibri" w:hAnsi="Calibri" w:cs="Calibri"/>
                <w:color w:val="000000" w:themeColor="text1"/>
                <w:sz w:val="22"/>
                <w:szCs w:val="22"/>
                <w:lang w:val="uk"/>
              </w:rPr>
              <w:t xml:space="preserve"> в рамках</w:t>
            </w:r>
            <w:r w:rsidRPr="6D4F866A">
              <w:rPr>
                <w:rFonts w:ascii="Calibri" w:eastAsia="Calibri" w:hAnsi="Calibri" w:cs="Calibri"/>
                <w:color w:val="000000" w:themeColor="text1"/>
                <w:sz w:val="22"/>
                <w:szCs w:val="22"/>
                <w:lang w:val="uk"/>
              </w:rPr>
              <w:t xml:space="preserve"> ПМСД (PBC)</w:t>
            </w:r>
            <w:r w:rsidR="000A643D">
              <w:rPr>
                <w:rFonts w:ascii="Calibri" w:eastAsia="Calibri" w:hAnsi="Calibri" w:cs="Calibri"/>
                <w:color w:val="000000" w:themeColor="text1"/>
                <w:sz w:val="22"/>
                <w:szCs w:val="22"/>
                <w:lang w:val="uk"/>
              </w:rPr>
              <w:t>.</w:t>
            </w:r>
          </w:p>
          <w:p w14:paraId="6B8F3D53" w14:textId="77777777" w:rsidR="00A7613F" w:rsidRPr="004805B7" w:rsidRDefault="00A7613F" w:rsidP="00CB0430">
            <w:pPr>
              <w:pStyle w:val="a3"/>
              <w:numPr>
                <w:ilvl w:val="0"/>
                <w:numId w:val="3"/>
              </w:numPr>
              <w:rPr>
                <w:rFonts w:ascii="Calibri" w:eastAsia="Calibri" w:hAnsi="Calibri" w:cs="Calibri"/>
                <w:color w:val="000000" w:themeColor="text1"/>
                <w:sz w:val="22"/>
                <w:szCs w:val="22"/>
                <w:lang w:val="ru-RU"/>
              </w:rPr>
            </w:pPr>
          </w:p>
          <w:p w14:paraId="71308C17" w14:textId="77777777" w:rsidR="00A7613F" w:rsidRPr="004805B7" w:rsidRDefault="004805B7" w:rsidP="00CB0430">
            <w:pPr>
              <w:rPr>
                <w:rFonts w:cs="Calibri"/>
                <w:color w:val="000000" w:themeColor="text1"/>
                <w:sz w:val="22"/>
                <w:szCs w:val="22"/>
                <w:lang w:val="ru-RU"/>
              </w:rPr>
            </w:pPr>
            <w:r w:rsidRPr="00FD6B43">
              <w:rPr>
                <w:rFonts w:cs="Calibri"/>
                <w:b/>
                <w:color w:val="000000" w:themeColor="text1"/>
                <w:sz w:val="22"/>
                <w:szCs w:val="22"/>
                <w:lang w:val="uk"/>
              </w:rPr>
              <w:t>Компонент 3:</w:t>
            </w:r>
            <w:r w:rsidRPr="6D4F866A">
              <w:rPr>
                <w:rFonts w:cs="Calibri"/>
                <w:i/>
                <w:iCs/>
                <w:color w:val="000000" w:themeColor="text1"/>
                <w:sz w:val="22"/>
                <w:szCs w:val="22"/>
                <w:lang w:val="uk"/>
              </w:rPr>
              <w:t xml:space="preserve"> Модернізація та підвищення ефективності </w:t>
            </w:r>
            <w:r w:rsidR="000A643D">
              <w:rPr>
                <w:rFonts w:cs="Calibri"/>
                <w:i/>
                <w:iCs/>
                <w:color w:val="000000" w:themeColor="text1"/>
                <w:sz w:val="22"/>
                <w:szCs w:val="22"/>
                <w:lang w:val="uk"/>
              </w:rPr>
              <w:t>стаціонарної медичної</w:t>
            </w:r>
            <w:r w:rsidRPr="6D4F866A">
              <w:rPr>
                <w:rFonts w:cs="Calibri"/>
                <w:i/>
                <w:iCs/>
                <w:color w:val="000000" w:themeColor="text1"/>
                <w:sz w:val="22"/>
                <w:szCs w:val="22"/>
                <w:lang w:val="uk"/>
              </w:rPr>
              <w:t xml:space="preserve"> допомоги </w:t>
            </w:r>
          </w:p>
          <w:p w14:paraId="6E7B40C5" w14:textId="77777777" w:rsidR="00A7613F" w:rsidRPr="00F81AC2" w:rsidRDefault="004805B7" w:rsidP="00CB0430">
            <w:pPr>
              <w:rPr>
                <w:rFonts w:cs="Calibri"/>
                <w:color w:val="000000" w:themeColor="text1"/>
                <w:sz w:val="22"/>
                <w:szCs w:val="22"/>
              </w:rPr>
            </w:pPr>
            <w:r w:rsidRPr="6D4F866A">
              <w:rPr>
                <w:rFonts w:cs="Calibri"/>
                <w:color w:val="000000" w:themeColor="text1"/>
                <w:sz w:val="22"/>
                <w:szCs w:val="22"/>
                <w:lang w:val="uk"/>
              </w:rPr>
              <w:t xml:space="preserve">Компонент 3.1 Невідкладні потреби лікарень. </w:t>
            </w:r>
          </w:p>
          <w:p w14:paraId="0970AD7F" w14:textId="77777777" w:rsidR="00A7613F" w:rsidRPr="00F81AC2" w:rsidRDefault="004805B7" w:rsidP="00CB0430">
            <w:pPr>
              <w:pStyle w:val="a3"/>
              <w:numPr>
                <w:ilvl w:val="0"/>
                <w:numId w:val="6"/>
              </w:numPr>
              <w:rPr>
                <w:rFonts w:ascii="Calibri" w:eastAsia="Calibri" w:hAnsi="Calibri" w:cs="Calibri"/>
                <w:color w:val="000000" w:themeColor="text1"/>
                <w:sz w:val="22"/>
                <w:szCs w:val="22"/>
              </w:rPr>
            </w:pPr>
            <w:r w:rsidRPr="6D4F866A">
              <w:rPr>
                <w:rFonts w:ascii="Calibri" w:eastAsia="Calibri" w:hAnsi="Calibri" w:cs="Calibri"/>
                <w:color w:val="000000" w:themeColor="text1"/>
                <w:sz w:val="22"/>
                <w:szCs w:val="22"/>
                <w:lang w:val="uk"/>
              </w:rPr>
              <w:lastRenderedPageBreak/>
              <w:t>Не</w:t>
            </w:r>
            <w:r w:rsidR="00960AB0">
              <w:rPr>
                <w:rFonts w:ascii="Calibri" w:eastAsia="Calibri" w:hAnsi="Calibri" w:cs="Calibri"/>
                <w:color w:val="000000" w:themeColor="text1"/>
                <w:sz w:val="22"/>
                <w:szCs w:val="22"/>
                <w:lang w:val="uk"/>
              </w:rPr>
              <w:t>обхідне обладнання для зміцнення потенціалу</w:t>
            </w:r>
            <w:r w:rsidRPr="6D4F866A">
              <w:rPr>
                <w:rFonts w:ascii="Calibri" w:eastAsia="Calibri" w:hAnsi="Calibri" w:cs="Calibri"/>
                <w:color w:val="000000" w:themeColor="text1"/>
                <w:sz w:val="22"/>
                <w:szCs w:val="22"/>
                <w:lang w:val="uk"/>
              </w:rPr>
              <w:t xml:space="preserve"> лікарень, які надають допомогу людям на звільнених територіях і в регіонах з високою концентрацією ВПО</w:t>
            </w:r>
            <w:r w:rsidR="00960AB0">
              <w:rPr>
                <w:rFonts w:ascii="Calibri" w:eastAsia="Calibri" w:hAnsi="Calibri" w:cs="Calibri"/>
                <w:color w:val="000000" w:themeColor="text1"/>
                <w:sz w:val="22"/>
                <w:szCs w:val="22"/>
                <w:lang w:val="uk"/>
              </w:rPr>
              <w:t>;</w:t>
            </w:r>
            <w:r w:rsidRPr="6D4F866A">
              <w:rPr>
                <w:rFonts w:ascii="Calibri" w:eastAsia="Calibri" w:hAnsi="Calibri" w:cs="Calibri"/>
                <w:color w:val="000000" w:themeColor="text1"/>
                <w:sz w:val="22"/>
                <w:szCs w:val="22"/>
                <w:lang w:val="uk"/>
              </w:rPr>
              <w:t xml:space="preserve"> </w:t>
            </w:r>
          </w:p>
          <w:p w14:paraId="42BC9237" w14:textId="77777777" w:rsidR="00A7613F" w:rsidRPr="00960AB0" w:rsidRDefault="004805B7" w:rsidP="00CB0430">
            <w:pPr>
              <w:pStyle w:val="a3"/>
              <w:numPr>
                <w:ilvl w:val="0"/>
                <w:numId w:val="6"/>
              </w:numPr>
              <w:rPr>
                <w:rFonts w:ascii="Calibri" w:eastAsia="Calibri" w:hAnsi="Calibri" w:cs="Calibri"/>
                <w:color w:val="000000" w:themeColor="text1"/>
                <w:sz w:val="22"/>
                <w:szCs w:val="22"/>
              </w:rPr>
            </w:pPr>
            <w:proofErr w:type="spellStart"/>
            <w:r>
              <w:rPr>
                <w:rFonts w:ascii="Calibri" w:eastAsia="Calibri" w:hAnsi="Calibri" w:cs="Calibri"/>
                <w:color w:val="000000" w:themeColor="text1"/>
                <w:sz w:val="22"/>
                <w:szCs w:val="22"/>
                <w:lang w:val="uk"/>
              </w:rPr>
              <w:t>Проєкт</w:t>
            </w:r>
            <w:r w:rsidRPr="6D4F866A">
              <w:rPr>
                <w:rFonts w:ascii="Calibri" w:eastAsia="Calibri" w:hAnsi="Calibri" w:cs="Calibri"/>
                <w:color w:val="000000" w:themeColor="text1"/>
                <w:sz w:val="22"/>
                <w:szCs w:val="22"/>
                <w:lang w:val="uk"/>
              </w:rPr>
              <w:t>на</w:t>
            </w:r>
            <w:proofErr w:type="spellEnd"/>
            <w:r w:rsidRPr="6D4F866A">
              <w:rPr>
                <w:rFonts w:ascii="Calibri" w:eastAsia="Calibri" w:hAnsi="Calibri" w:cs="Calibri"/>
                <w:color w:val="000000" w:themeColor="text1"/>
                <w:sz w:val="22"/>
                <w:szCs w:val="22"/>
                <w:lang w:val="uk"/>
              </w:rPr>
              <w:t xml:space="preserve"> документація для реконструкції або будівництва нових лікарень відповідно до с</w:t>
            </w:r>
            <w:r w:rsidR="00960AB0">
              <w:rPr>
                <w:rFonts w:ascii="Calibri" w:eastAsia="Calibri" w:hAnsi="Calibri" w:cs="Calibri"/>
                <w:color w:val="000000" w:themeColor="text1"/>
                <w:sz w:val="22"/>
                <w:szCs w:val="22"/>
                <w:lang w:val="uk"/>
              </w:rPr>
              <w:t xml:space="preserve">тратегії оптимізації </w:t>
            </w:r>
            <w:r w:rsidRPr="6D4F866A">
              <w:rPr>
                <w:rFonts w:ascii="Calibri" w:eastAsia="Calibri" w:hAnsi="Calibri" w:cs="Calibri"/>
                <w:color w:val="000000" w:themeColor="text1"/>
                <w:sz w:val="22"/>
                <w:szCs w:val="22"/>
                <w:lang w:val="uk"/>
              </w:rPr>
              <w:t>мережі</w:t>
            </w:r>
            <w:r w:rsidR="00960AB0">
              <w:rPr>
                <w:rFonts w:ascii="Calibri" w:eastAsia="Calibri" w:hAnsi="Calibri" w:cs="Calibri"/>
                <w:color w:val="000000" w:themeColor="text1"/>
                <w:sz w:val="22"/>
                <w:szCs w:val="22"/>
                <w:lang w:val="uk"/>
              </w:rPr>
              <w:t xml:space="preserve"> лікарень.</w:t>
            </w:r>
            <w:r w:rsidRPr="6D4F866A">
              <w:rPr>
                <w:rFonts w:ascii="Calibri" w:eastAsia="Calibri" w:hAnsi="Calibri" w:cs="Calibri"/>
                <w:color w:val="000000" w:themeColor="text1"/>
                <w:sz w:val="22"/>
                <w:szCs w:val="22"/>
                <w:lang w:val="uk"/>
              </w:rPr>
              <w:t xml:space="preserve"> </w:t>
            </w:r>
          </w:p>
          <w:p w14:paraId="574220D8" w14:textId="77777777" w:rsidR="00A7613F" w:rsidRPr="00F81AC2" w:rsidRDefault="004805B7" w:rsidP="00CB0430">
            <w:pPr>
              <w:rPr>
                <w:rFonts w:cs="Calibri"/>
                <w:color w:val="000000" w:themeColor="text1"/>
                <w:sz w:val="22"/>
                <w:szCs w:val="22"/>
              </w:rPr>
            </w:pPr>
            <w:r w:rsidRPr="6D4F866A">
              <w:rPr>
                <w:rFonts w:cs="Calibri"/>
                <w:color w:val="000000" w:themeColor="text1"/>
                <w:sz w:val="22"/>
                <w:szCs w:val="22"/>
                <w:lang w:val="uk"/>
              </w:rPr>
              <w:t>Компонент 3.2 Модернізація лікарень.</w:t>
            </w:r>
          </w:p>
          <w:p w14:paraId="1EF2E8A5" w14:textId="77777777" w:rsidR="00A7613F" w:rsidRPr="0059538D" w:rsidRDefault="004805B7" w:rsidP="00CB0430">
            <w:pPr>
              <w:pStyle w:val="a3"/>
              <w:numPr>
                <w:ilvl w:val="0"/>
                <w:numId w:val="5"/>
              </w:numPr>
              <w:rPr>
                <w:rFonts w:ascii="Calibri" w:eastAsia="Calibri" w:hAnsi="Calibri" w:cs="Calibri"/>
                <w:color w:val="000000" w:themeColor="text1"/>
                <w:sz w:val="22"/>
                <w:szCs w:val="22"/>
              </w:rPr>
            </w:pPr>
            <w:r w:rsidRPr="6D4F866A">
              <w:rPr>
                <w:rFonts w:ascii="Calibri" w:eastAsia="Calibri" w:hAnsi="Calibri" w:cs="Calibri"/>
                <w:color w:val="000000" w:themeColor="text1"/>
                <w:sz w:val="22"/>
                <w:szCs w:val="22"/>
                <w:lang w:val="uk"/>
              </w:rPr>
              <w:t>Будівництво або суттєва реконструкція визна</w:t>
            </w:r>
            <w:r w:rsidR="00960AB0">
              <w:rPr>
                <w:rFonts w:ascii="Calibri" w:eastAsia="Calibri" w:hAnsi="Calibri" w:cs="Calibri"/>
                <w:color w:val="000000" w:themeColor="text1"/>
                <w:sz w:val="22"/>
                <w:szCs w:val="22"/>
                <w:lang w:val="uk"/>
              </w:rPr>
              <w:t>чених лікарень з метою сприяння консолідації стаціонарної медичної</w:t>
            </w:r>
            <w:r w:rsidRPr="6D4F866A">
              <w:rPr>
                <w:rFonts w:ascii="Calibri" w:eastAsia="Calibri" w:hAnsi="Calibri" w:cs="Calibri"/>
                <w:color w:val="000000" w:themeColor="text1"/>
                <w:sz w:val="22"/>
                <w:szCs w:val="22"/>
                <w:lang w:val="uk"/>
              </w:rPr>
              <w:t xml:space="preserve"> допомоги </w:t>
            </w:r>
            <w:r w:rsidR="00960AB0">
              <w:rPr>
                <w:rFonts w:ascii="Calibri" w:eastAsia="Calibri" w:hAnsi="Calibri" w:cs="Calibri"/>
                <w:color w:val="000000" w:themeColor="text1"/>
                <w:sz w:val="22"/>
                <w:szCs w:val="22"/>
                <w:lang w:val="uk"/>
              </w:rPr>
              <w:t>за</w:t>
            </w:r>
            <w:r w:rsidRPr="6D4F866A">
              <w:rPr>
                <w:rFonts w:ascii="Calibri" w:eastAsia="Calibri" w:hAnsi="Calibri" w:cs="Calibri"/>
                <w:color w:val="000000" w:themeColor="text1"/>
                <w:sz w:val="22"/>
                <w:szCs w:val="22"/>
                <w:lang w:val="uk"/>
              </w:rPr>
              <w:t>для підвищення якості та ефективності невідкладної допомоги.</w:t>
            </w:r>
          </w:p>
          <w:p w14:paraId="67D3C42D" w14:textId="77777777" w:rsidR="00A7613F" w:rsidRPr="00F81AC2" w:rsidRDefault="004805B7" w:rsidP="00CB0430">
            <w:pPr>
              <w:rPr>
                <w:rFonts w:cs="Calibri"/>
                <w:color w:val="000000" w:themeColor="text1"/>
                <w:sz w:val="22"/>
                <w:szCs w:val="22"/>
              </w:rPr>
            </w:pPr>
            <w:r w:rsidRPr="00FD6B43">
              <w:rPr>
                <w:rFonts w:cs="Calibri"/>
                <w:b/>
                <w:color w:val="000000" w:themeColor="text1"/>
                <w:sz w:val="22"/>
                <w:szCs w:val="22"/>
                <w:lang w:val="uk"/>
              </w:rPr>
              <w:t>Компонент 4:</w:t>
            </w:r>
            <w:r w:rsidRPr="6D4F866A">
              <w:rPr>
                <w:rFonts w:cs="Calibri"/>
                <w:i/>
                <w:iCs/>
                <w:color w:val="000000" w:themeColor="text1"/>
                <w:sz w:val="22"/>
                <w:szCs w:val="22"/>
                <w:lang w:val="uk"/>
              </w:rPr>
              <w:t xml:space="preserve"> Підтримка нарощування потенціалу, цифровізації та інновацій </w:t>
            </w:r>
          </w:p>
          <w:p w14:paraId="4219E211" w14:textId="77777777" w:rsidR="00A7613F" w:rsidRPr="00F81AC2" w:rsidRDefault="004805B7" w:rsidP="00CB0430">
            <w:pPr>
              <w:rPr>
                <w:rFonts w:cs="Calibri"/>
                <w:color w:val="000000" w:themeColor="text1"/>
                <w:sz w:val="22"/>
                <w:szCs w:val="22"/>
              </w:rPr>
            </w:pPr>
            <w:r w:rsidRPr="6D4F866A">
              <w:rPr>
                <w:rFonts w:cs="Calibri"/>
                <w:color w:val="000000" w:themeColor="text1"/>
                <w:sz w:val="22"/>
                <w:szCs w:val="22"/>
                <w:lang w:val="uk"/>
              </w:rPr>
              <w:t>Компонен</w:t>
            </w:r>
            <w:r w:rsidR="00960AB0">
              <w:rPr>
                <w:rFonts w:cs="Calibri"/>
                <w:color w:val="000000" w:themeColor="text1"/>
                <w:sz w:val="22"/>
                <w:szCs w:val="22"/>
                <w:lang w:val="uk"/>
              </w:rPr>
              <w:t>т 4.1 Усунення наявного браку пропускної спроможності</w:t>
            </w:r>
            <w:r w:rsidRPr="6D4F866A">
              <w:rPr>
                <w:rFonts w:cs="Calibri"/>
                <w:color w:val="000000" w:themeColor="text1"/>
                <w:sz w:val="22"/>
                <w:szCs w:val="22"/>
                <w:lang w:val="uk"/>
              </w:rPr>
              <w:t xml:space="preserve">, </w:t>
            </w:r>
            <w:r w:rsidR="00960AB0">
              <w:rPr>
                <w:rFonts w:cs="Calibri"/>
                <w:color w:val="000000" w:themeColor="text1"/>
                <w:sz w:val="22"/>
                <w:szCs w:val="22"/>
                <w:lang w:val="uk"/>
              </w:rPr>
              <w:t xml:space="preserve">сприяння інноваціям у </w:t>
            </w:r>
            <w:proofErr w:type="spellStart"/>
            <w:r w:rsidR="00960AB0">
              <w:rPr>
                <w:rFonts w:cs="Calibri"/>
                <w:color w:val="000000" w:themeColor="text1"/>
                <w:sz w:val="22"/>
                <w:szCs w:val="22"/>
                <w:lang w:val="uk"/>
              </w:rPr>
              <w:t>цифоровізації</w:t>
            </w:r>
            <w:proofErr w:type="spellEnd"/>
            <w:r w:rsidR="00960AB0">
              <w:rPr>
                <w:rFonts w:cs="Calibri"/>
                <w:color w:val="000000" w:themeColor="text1"/>
                <w:sz w:val="22"/>
                <w:szCs w:val="22"/>
                <w:lang w:val="uk"/>
              </w:rPr>
              <w:t xml:space="preserve"> та</w:t>
            </w:r>
            <w:r w:rsidRPr="6D4F866A">
              <w:rPr>
                <w:rFonts w:cs="Calibri"/>
                <w:color w:val="000000" w:themeColor="text1"/>
                <w:sz w:val="22"/>
                <w:szCs w:val="22"/>
                <w:lang w:val="uk"/>
              </w:rPr>
              <w:t xml:space="preserve"> наданні послуг </w:t>
            </w:r>
            <w:r w:rsidR="00960AB0">
              <w:rPr>
                <w:rFonts w:cs="Calibri"/>
                <w:color w:val="000000" w:themeColor="text1"/>
                <w:sz w:val="22"/>
                <w:szCs w:val="22"/>
                <w:lang w:val="uk"/>
              </w:rPr>
              <w:t>за</w:t>
            </w:r>
            <w:r w:rsidRPr="6D4F866A">
              <w:rPr>
                <w:rFonts w:cs="Calibri"/>
                <w:color w:val="000000" w:themeColor="text1"/>
                <w:sz w:val="22"/>
                <w:szCs w:val="22"/>
                <w:lang w:val="uk"/>
              </w:rPr>
              <w:t>для підтримки відновлення</w:t>
            </w:r>
          </w:p>
          <w:p w14:paraId="76027958" w14:textId="77777777" w:rsidR="00A7613F" w:rsidRPr="004805B7" w:rsidRDefault="004805B7" w:rsidP="00CB0430">
            <w:pPr>
              <w:pStyle w:val="a3"/>
              <w:numPr>
                <w:ilvl w:val="0"/>
                <w:numId w:val="7"/>
              </w:numPr>
              <w:rPr>
                <w:rFonts w:ascii="Calibri" w:eastAsia="Calibri" w:hAnsi="Calibri" w:cs="Calibri"/>
                <w:color w:val="000000" w:themeColor="text1"/>
                <w:sz w:val="22"/>
                <w:szCs w:val="22"/>
                <w:lang w:val="ru-RU"/>
              </w:rPr>
            </w:pPr>
            <w:r w:rsidRPr="6D4F866A">
              <w:rPr>
                <w:rFonts w:ascii="Calibri" w:eastAsia="Calibri" w:hAnsi="Calibri" w:cs="Calibri"/>
                <w:color w:val="000000" w:themeColor="text1"/>
                <w:sz w:val="22"/>
                <w:szCs w:val="22"/>
                <w:lang w:val="uk"/>
              </w:rPr>
              <w:t xml:space="preserve">Ключові оновлення систем електронної охорони здоров'я </w:t>
            </w:r>
          </w:p>
          <w:p w14:paraId="57F616A2" w14:textId="77777777" w:rsidR="00A7613F" w:rsidRPr="00502452" w:rsidRDefault="0037637B" w:rsidP="00CB0430">
            <w:pPr>
              <w:pStyle w:val="a3"/>
              <w:numPr>
                <w:ilvl w:val="0"/>
                <w:numId w:val="7"/>
              </w:numPr>
              <w:rPr>
                <w:rFonts w:ascii="Calibri" w:eastAsia="Calibri" w:hAnsi="Calibri" w:cs="Calibri"/>
                <w:color w:val="000000" w:themeColor="text1"/>
                <w:sz w:val="22"/>
                <w:szCs w:val="22"/>
                <w:lang w:val="ru-RU"/>
              </w:rPr>
            </w:pPr>
            <w:r>
              <w:rPr>
                <w:rFonts w:ascii="Calibri" w:eastAsia="Calibri" w:hAnsi="Calibri" w:cs="Calibri"/>
                <w:color w:val="000000" w:themeColor="text1"/>
                <w:sz w:val="22"/>
                <w:szCs w:val="22"/>
                <w:lang w:val="uk"/>
              </w:rPr>
              <w:t>Нарощування</w:t>
            </w:r>
            <w:r w:rsidR="004805B7" w:rsidRPr="6D4F866A">
              <w:rPr>
                <w:rFonts w:ascii="Calibri" w:eastAsia="Calibri" w:hAnsi="Calibri" w:cs="Calibri"/>
                <w:color w:val="000000" w:themeColor="text1"/>
                <w:sz w:val="22"/>
                <w:szCs w:val="22"/>
                <w:lang w:val="uk"/>
              </w:rPr>
              <w:t xml:space="preserve"> потенціалу впроваджується ключовими закладами</w:t>
            </w:r>
            <w:r>
              <w:rPr>
                <w:rFonts w:ascii="Calibri" w:eastAsia="Calibri" w:hAnsi="Calibri" w:cs="Calibri"/>
                <w:color w:val="000000" w:themeColor="text1"/>
                <w:sz w:val="22"/>
                <w:szCs w:val="22"/>
                <w:lang w:val="uk"/>
              </w:rPr>
              <w:t xml:space="preserve"> в секторі</w:t>
            </w:r>
            <w:r w:rsidR="004805B7" w:rsidRPr="6D4F866A">
              <w:rPr>
                <w:rFonts w:ascii="Calibri" w:eastAsia="Calibri" w:hAnsi="Calibri" w:cs="Calibri"/>
                <w:color w:val="000000" w:themeColor="text1"/>
                <w:sz w:val="22"/>
                <w:szCs w:val="22"/>
                <w:lang w:val="uk"/>
              </w:rPr>
              <w:t xml:space="preserve"> охорони здоров'я (НСЗУ, Центр громадського здоров'я, </w:t>
            </w:r>
            <w:proofErr w:type="spellStart"/>
            <w:r w:rsidR="004805B7" w:rsidRPr="6D4F866A">
              <w:rPr>
                <w:rFonts w:ascii="Calibri" w:eastAsia="Calibri" w:hAnsi="Calibri" w:cs="Calibri"/>
                <w:color w:val="000000" w:themeColor="text1"/>
                <w:sz w:val="22"/>
                <w:szCs w:val="22"/>
                <w:lang w:val="uk"/>
              </w:rPr>
              <w:t>eHealth</w:t>
            </w:r>
            <w:proofErr w:type="spellEnd"/>
            <w:r w:rsidR="004805B7" w:rsidRPr="6D4F866A">
              <w:rPr>
                <w:rFonts w:ascii="Calibri" w:eastAsia="Calibri" w:hAnsi="Calibri" w:cs="Calibri"/>
                <w:color w:val="000000" w:themeColor="text1"/>
                <w:sz w:val="22"/>
                <w:szCs w:val="22"/>
                <w:lang w:val="uk"/>
              </w:rPr>
              <w:t xml:space="preserve">, </w:t>
            </w:r>
            <w:r w:rsidR="004805B7" w:rsidRPr="00502452">
              <w:rPr>
                <w:rFonts w:ascii="Calibri" w:eastAsia="Calibri" w:hAnsi="Calibri" w:cs="Calibri"/>
                <w:color w:val="000000" w:themeColor="text1"/>
                <w:sz w:val="22"/>
                <w:szCs w:val="22"/>
                <w:lang w:val="uk"/>
              </w:rPr>
              <w:t>Центральна закупівельна організація)</w:t>
            </w:r>
            <w:r w:rsidRPr="00502452">
              <w:rPr>
                <w:rFonts w:ascii="Calibri" w:eastAsia="Calibri" w:hAnsi="Calibri" w:cs="Calibri"/>
                <w:color w:val="000000" w:themeColor="text1"/>
                <w:sz w:val="22"/>
                <w:szCs w:val="22"/>
                <w:lang w:val="uk"/>
              </w:rPr>
              <w:t>;</w:t>
            </w:r>
            <w:r w:rsidR="004805B7" w:rsidRPr="00502452">
              <w:rPr>
                <w:rFonts w:ascii="Calibri" w:eastAsia="Calibri" w:hAnsi="Calibri" w:cs="Calibri"/>
                <w:color w:val="000000" w:themeColor="text1"/>
                <w:sz w:val="22"/>
                <w:szCs w:val="22"/>
                <w:lang w:val="uk"/>
              </w:rPr>
              <w:t xml:space="preserve"> </w:t>
            </w:r>
          </w:p>
          <w:p w14:paraId="16CF33D3" w14:textId="2AC2F18E" w:rsidR="00A7613F" w:rsidRPr="00502452" w:rsidRDefault="00502452" w:rsidP="00CB0430">
            <w:pPr>
              <w:pStyle w:val="a3"/>
              <w:numPr>
                <w:ilvl w:val="0"/>
                <w:numId w:val="7"/>
              </w:numPr>
              <w:rPr>
                <w:rFonts w:ascii="Calibri" w:eastAsia="Calibri" w:hAnsi="Calibri" w:cs="Calibri"/>
                <w:color w:val="000000" w:themeColor="text1"/>
                <w:sz w:val="22"/>
                <w:szCs w:val="22"/>
              </w:rPr>
            </w:pPr>
            <w:r w:rsidRPr="00502452">
              <w:rPr>
                <w:rFonts w:ascii="Calibri" w:eastAsia="Calibri" w:hAnsi="Calibri" w:cs="Calibri"/>
                <w:color w:val="000000" w:themeColor="text1"/>
                <w:sz w:val="22"/>
                <w:szCs w:val="22"/>
                <w:lang w:val="uk"/>
              </w:rPr>
              <w:t>Сторонній моніторинг</w:t>
            </w:r>
            <w:r w:rsidR="0037637B" w:rsidRPr="00502452">
              <w:rPr>
                <w:rFonts w:ascii="Calibri" w:eastAsia="Calibri" w:hAnsi="Calibri" w:cs="Calibri"/>
                <w:color w:val="000000" w:themeColor="text1"/>
                <w:sz w:val="22"/>
                <w:szCs w:val="22"/>
                <w:lang w:val="uk"/>
              </w:rPr>
              <w:t>;</w:t>
            </w:r>
            <w:r w:rsidRPr="00502452">
              <w:rPr>
                <w:rFonts w:ascii="Calibri" w:eastAsia="Calibri" w:hAnsi="Calibri" w:cs="Calibri"/>
                <w:color w:val="000000" w:themeColor="text1"/>
                <w:sz w:val="22"/>
                <w:szCs w:val="22"/>
              </w:rPr>
              <w:t xml:space="preserve"> </w:t>
            </w:r>
          </w:p>
          <w:p w14:paraId="2603D981" w14:textId="77777777" w:rsidR="00A7613F" w:rsidRPr="004805B7" w:rsidRDefault="004805B7" w:rsidP="00CB0430">
            <w:pPr>
              <w:pStyle w:val="a3"/>
              <w:numPr>
                <w:ilvl w:val="0"/>
                <w:numId w:val="7"/>
              </w:numPr>
              <w:rPr>
                <w:rFonts w:ascii="Calibri" w:eastAsia="Calibri" w:hAnsi="Calibri" w:cs="Calibri"/>
                <w:color w:val="000000" w:themeColor="text1"/>
                <w:sz w:val="22"/>
                <w:szCs w:val="22"/>
                <w:lang w:val="ru-RU"/>
              </w:rPr>
            </w:pPr>
            <w:r w:rsidRPr="00502452">
              <w:rPr>
                <w:rFonts w:ascii="Calibri" w:eastAsia="Calibri" w:hAnsi="Calibri" w:cs="Calibri"/>
                <w:color w:val="000000" w:themeColor="text1"/>
                <w:sz w:val="22"/>
                <w:szCs w:val="22"/>
                <w:lang w:val="uk"/>
              </w:rPr>
              <w:t>З</w:t>
            </w:r>
            <w:r w:rsidRPr="6D4F866A">
              <w:rPr>
                <w:rFonts w:ascii="Calibri" w:eastAsia="Calibri" w:hAnsi="Calibri" w:cs="Calibri"/>
                <w:color w:val="000000" w:themeColor="text1"/>
                <w:sz w:val="22"/>
                <w:szCs w:val="22"/>
                <w:lang w:val="uk"/>
              </w:rPr>
              <w:t>аходи щодо запровадження стандартизації якості послуг</w:t>
            </w:r>
            <w:r w:rsidR="0037637B">
              <w:rPr>
                <w:rFonts w:ascii="Calibri" w:eastAsia="Calibri" w:hAnsi="Calibri" w:cs="Calibri"/>
                <w:color w:val="000000" w:themeColor="text1"/>
                <w:sz w:val="22"/>
                <w:szCs w:val="22"/>
                <w:lang w:val="uk"/>
              </w:rPr>
              <w:t>.</w:t>
            </w:r>
            <w:r w:rsidRPr="6D4F866A">
              <w:rPr>
                <w:rFonts w:ascii="Calibri" w:eastAsia="Calibri" w:hAnsi="Calibri" w:cs="Calibri"/>
                <w:color w:val="000000" w:themeColor="text1"/>
                <w:sz w:val="22"/>
                <w:szCs w:val="22"/>
                <w:lang w:val="uk"/>
              </w:rPr>
              <w:t xml:space="preserve"> </w:t>
            </w:r>
          </w:p>
          <w:p w14:paraId="7CBBF803" w14:textId="77777777" w:rsidR="00A7613F" w:rsidRPr="004805B7" w:rsidRDefault="004805B7" w:rsidP="00CB0430">
            <w:pPr>
              <w:spacing w:after="160" w:line="259" w:lineRule="auto"/>
              <w:rPr>
                <w:b/>
                <w:sz w:val="22"/>
                <w:lang w:val="ru-RU"/>
              </w:rPr>
            </w:pPr>
            <w:r w:rsidRPr="6D4F866A">
              <w:rPr>
                <w:rFonts w:cs="Calibri"/>
                <w:color w:val="000000" w:themeColor="text1"/>
                <w:sz w:val="22"/>
                <w:szCs w:val="22"/>
                <w:lang w:val="uk"/>
              </w:rPr>
              <w:t>Компонент</w:t>
            </w:r>
            <w:r w:rsidR="0037637B">
              <w:rPr>
                <w:rFonts w:cs="Calibri"/>
                <w:color w:val="000000" w:themeColor="text1"/>
                <w:sz w:val="22"/>
                <w:szCs w:val="22"/>
                <w:lang w:val="uk"/>
              </w:rPr>
              <w:t xml:space="preserve"> 4.2 Запровадження нових напрямків діяльності</w:t>
            </w:r>
            <w:r w:rsidRPr="6D4F866A">
              <w:rPr>
                <w:rFonts w:cs="Calibri"/>
                <w:color w:val="000000" w:themeColor="text1"/>
                <w:sz w:val="22"/>
                <w:szCs w:val="22"/>
                <w:lang w:val="uk"/>
              </w:rPr>
              <w:t xml:space="preserve"> для сталого та інноваційного надання послуг.</w:t>
            </w:r>
          </w:p>
        </w:tc>
      </w:tr>
      <w:tr w:rsidR="009E0D30" w:rsidRPr="004805B7" w14:paraId="1E5A56DF" w14:textId="77777777" w:rsidTr="00CB0430">
        <w:tc>
          <w:tcPr>
            <w:tcW w:w="1615" w:type="dxa"/>
          </w:tcPr>
          <w:p w14:paraId="2892D269" w14:textId="77777777" w:rsidR="00A7613F" w:rsidRPr="0037637B" w:rsidRDefault="004805B7" w:rsidP="00CB0430">
            <w:pPr>
              <w:spacing w:after="160" w:line="259" w:lineRule="auto"/>
              <w:rPr>
                <w:b/>
                <w:sz w:val="22"/>
                <w:lang w:val="ru-RU"/>
              </w:rPr>
            </w:pPr>
            <w:proofErr w:type="spellStart"/>
            <w:r>
              <w:rPr>
                <w:b/>
                <w:sz w:val="22"/>
                <w:lang w:val="uk"/>
              </w:rPr>
              <w:lastRenderedPageBreak/>
              <w:t>Бенефіціари</w:t>
            </w:r>
            <w:proofErr w:type="spellEnd"/>
          </w:p>
        </w:tc>
        <w:tc>
          <w:tcPr>
            <w:tcW w:w="7735" w:type="dxa"/>
          </w:tcPr>
          <w:p w14:paraId="239ECE3A" w14:textId="77777777" w:rsidR="00A7613F" w:rsidRPr="004805B7" w:rsidRDefault="0037637B" w:rsidP="00CB0430">
            <w:pPr>
              <w:spacing w:after="160" w:line="259" w:lineRule="auto"/>
              <w:rPr>
                <w:b/>
                <w:sz w:val="22"/>
                <w:lang w:val="ru-RU"/>
              </w:rPr>
            </w:pPr>
            <w:r>
              <w:rPr>
                <w:rFonts w:asciiTheme="minorHAnsi" w:hAnsiTheme="minorHAnsi"/>
                <w:sz w:val="22"/>
                <w:szCs w:val="22"/>
                <w:lang w:val="uk"/>
              </w:rPr>
              <w:t>Дорослі та діти, які зазнали впливу</w:t>
            </w:r>
            <w:r w:rsidR="004805B7">
              <w:rPr>
                <w:rFonts w:asciiTheme="minorHAnsi" w:hAnsiTheme="minorHAnsi"/>
                <w:sz w:val="22"/>
                <w:szCs w:val="22"/>
                <w:lang w:val="uk"/>
              </w:rPr>
              <w:t xml:space="preserve"> війни. </w:t>
            </w:r>
          </w:p>
        </w:tc>
      </w:tr>
      <w:tr w:rsidR="009E0D30" w:rsidRPr="004805B7" w14:paraId="368A707A" w14:textId="77777777" w:rsidTr="00CB0430">
        <w:tc>
          <w:tcPr>
            <w:tcW w:w="1615" w:type="dxa"/>
          </w:tcPr>
          <w:p w14:paraId="0AC36DA6" w14:textId="77777777" w:rsidR="00A7613F" w:rsidRDefault="004805B7" w:rsidP="00CB0430">
            <w:pPr>
              <w:spacing w:line="256" w:lineRule="exact"/>
              <w:rPr>
                <w:b/>
                <w:sz w:val="22"/>
              </w:rPr>
            </w:pPr>
            <w:r>
              <w:rPr>
                <w:b/>
                <w:sz w:val="22"/>
                <w:lang w:val="uk"/>
              </w:rPr>
              <w:t>Організація-</w:t>
            </w:r>
          </w:p>
          <w:p w14:paraId="06523B78" w14:textId="77777777" w:rsidR="00A7613F" w:rsidRDefault="004805B7" w:rsidP="00CB0430">
            <w:pPr>
              <w:spacing w:after="160" w:line="259" w:lineRule="auto"/>
              <w:rPr>
                <w:b/>
                <w:sz w:val="22"/>
              </w:rPr>
            </w:pPr>
            <w:r>
              <w:rPr>
                <w:b/>
                <w:sz w:val="22"/>
                <w:lang w:val="uk"/>
              </w:rPr>
              <w:t>Виконавець</w:t>
            </w:r>
          </w:p>
        </w:tc>
        <w:tc>
          <w:tcPr>
            <w:tcW w:w="7735" w:type="dxa"/>
            <w:vAlign w:val="bottom"/>
          </w:tcPr>
          <w:p w14:paraId="1BC02CFC" w14:textId="77777777" w:rsidR="00A7613F" w:rsidRPr="004805B7" w:rsidRDefault="004805B7" w:rsidP="00CB0430">
            <w:pPr>
              <w:spacing w:after="160" w:line="259" w:lineRule="auto"/>
              <w:rPr>
                <w:b/>
                <w:sz w:val="22"/>
                <w:lang w:val="ru-RU"/>
              </w:rPr>
            </w:pPr>
            <w:r>
              <w:rPr>
                <w:sz w:val="22"/>
                <w:lang w:val="uk"/>
              </w:rPr>
              <w:t>Міністерство охорони здоров'я України, нарахування заробітної плати здійснюється за допомогою єдиного казначейського рахунку Державного казначейства України</w:t>
            </w:r>
          </w:p>
        </w:tc>
      </w:tr>
      <w:tr w:rsidR="009E0D30" w:rsidRPr="004805B7" w14:paraId="6E09E5EB" w14:textId="77777777" w:rsidTr="00CB0430">
        <w:tc>
          <w:tcPr>
            <w:tcW w:w="1615" w:type="dxa"/>
          </w:tcPr>
          <w:p w14:paraId="7809C33F" w14:textId="77777777" w:rsidR="00A7613F" w:rsidRDefault="004805B7" w:rsidP="00CB0430">
            <w:pPr>
              <w:spacing w:after="160" w:line="259" w:lineRule="auto"/>
              <w:rPr>
                <w:b/>
                <w:sz w:val="22"/>
              </w:rPr>
            </w:pPr>
            <w:r>
              <w:rPr>
                <w:b/>
                <w:sz w:val="22"/>
                <w:lang w:val="uk"/>
              </w:rPr>
              <w:t>Контекст проєкту</w:t>
            </w:r>
          </w:p>
        </w:tc>
        <w:tc>
          <w:tcPr>
            <w:tcW w:w="7735" w:type="dxa"/>
          </w:tcPr>
          <w:p w14:paraId="29943A4E" w14:textId="77777777" w:rsidR="00A7613F" w:rsidRPr="004805B7" w:rsidRDefault="004805B7" w:rsidP="00CB0430">
            <w:pPr>
              <w:spacing w:line="256" w:lineRule="exact"/>
              <w:jc w:val="both"/>
              <w:rPr>
                <w:sz w:val="22"/>
                <w:lang w:val="uk"/>
              </w:rPr>
            </w:pPr>
            <w:r w:rsidRPr="00FD6B43">
              <w:rPr>
                <w:sz w:val="22"/>
                <w:lang w:val="uk"/>
              </w:rPr>
              <w:t>На момент вторгнення в Україну система охо</w:t>
            </w:r>
            <w:r w:rsidR="0037637B">
              <w:rPr>
                <w:sz w:val="22"/>
                <w:lang w:val="uk"/>
              </w:rPr>
              <w:t>рони здоров'я в Україні почала</w:t>
            </w:r>
            <w:r w:rsidRPr="00FD6B43">
              <w:rPr>
                <w:sz w:val="22"/>
                <w:lang w:val="uk"/>
              </w:rPr>
              <w:t xml:space="preserve"> віднов</w:t>
            </w:r>
            <w:r w:rsidR="0037637B">
              <w:rPr>
                <w:sz w:val="22"/>
                <w:lang w:val="uk"/>
              </w:rPr>
              <w:t>лення</w:t>
            </w:r>
            <w:r w:rsidRPr="00FD6B43">
              <w:rPr>
                <w:sz w:val="22"/>
                <w:lang w:val="uk"/>
              </w:rPr>
              <w:t xml:space="preserve"> після</w:t>
            </w:r>
            <w:r w:rsidR="0037637B">
              <w:rPr>
                <w:sz w:val="22"/>
                <w:lang w:val="uk"/>
              </w:rPr>
              <w:t xml:space="preserve"> пандемії COVID-19 і планувалося</w:t>
            </w:r>
            <w:r w:rsidRPr="00FD6B43">
              <w:rPr>
                <w:sz w:val="22"/>
                <w:lang w:val="uk"/>
              </w:rPr>
              <w:t xml:space="preserve"> повернення до нормального функціонування з досягненням результатів в рамках основних реформ в секторі охорони здоров'я, які впровад</w:t>
            </w:r>
            <w:r w:rsidR="0037637B">
              <w:rPr>
                <w:sz w:val="22"/>
                <w:lang w:val="uk"/>
              </w:rPr>
              <w:t>жувалися з 2018 року. В</w:t>
            </w:r>
            <w:r w:rsidRPr="00FD6B43">
              <w:rPr>
                <w:sz w:val="22"/>
                <w:lang w:val="uk"/>
              </w:rPr>
              <w:t xml:space="preserve">ідразу після вторгнення надання медичних послуг різко скоротилося, і хоча згодом ситуація покращилася, доступ до медичної допомоги залишається </w:t>
            </w:r>
            <w:r w:rsidR="0037637B">
              <w:rPr>
                <w:sz w:val="22"/>
                <w:lang w:val="uk"/>
              </w:rPr>
              <w:t>проблематичним</w:t>
            </w:r>
            <w:r w:rsidRPr="00FD6B43">
              <w:rPr>
                <w:sz w:val="22"/>
                <w:lang w:val="uk"/>
              </w:rPr>
              <w:t xml:space="preserve"> для насел</w:t>
            </w:r>
            <w:r w:rsidR="0037637B">
              <w:rPr>
                <w:sz w:val="22"/>
                <w:lang w:val="uk"/>
              </w:rPr>
              <w:t>ення. Оскільки Україна</w:t>
            </w:r>
            <w:r w:rsidRPr="00FD6B43">
              <w:rPr>
                <w:sz w:val="22"/>
                <w:lang w:val="uk"/>
              </w:rPr>
              <w:t xml:space="preserve"> продовжує надавати послуги з невідкладної допомоги своєму населенню, одночасно розпочинаючи процес відновлення та відбудови, узгодження ресурсів донорів (один з одним і всередині уряду) буде мати важливе значення для забезпечення ефективності їх розподілу, ефективного керівництва з боку Міністерства охорони здоров'я і </w:t>
            </w:r>
            <w:r w:rsidR="0037637B">
              <w:rPr>
                <w:sz w:val="22"/>
                <w:lang w:val="uk"/>
              </w:rPr>
              <w:t xml:space="preserve">для </w:t>
            </w:r>
            <w:r w:rsidRPr="00FD6B43">
              <w:rPr>
                <w:sz w:val="22"/>
                <w:lang w:val="uk"/>
              </w:rPr>
              <w:t>того, щоб фінансування узгоджувалося як із напрямками в</w:t>
            </w:r>
            <w:r w:rsidR="0037637B">
              <w:rPr>
                <w:sz w:val="22"/>
                <w:lang w:val="uk"/>
              </w:rPr>
              <w:t>ідновлення, так і довгостроковими</w:t>
            </w:r>
            <w:r w:rsidRPr="00FD6B43">
              <w:rPr>
                <w:sz w:val="22"/>
                <w:lang w:val="uk"/>
              </w:rPr>
              <w:t xml:space="preserve"> реформ</w:t>
            </w:r>
            <w:r w:rsidR="0037637B">
              <w:rPr>
                <w:sz w:val="22"/>
                <w:lang w:val="uk"/>
              </w:rPr>
              <w:t>ами</w:t>
            </w:r>
            <w:r w:rsidRPr="00FD6B43">
              <w:rPr>
                <w:sz w:val="22"/>
                <w:lang w:val="uk"/>
              </w:rPr>
              <w:t>.</w:t>
            </w:r>
          </w:p>
          <w:p w14:paraId="368D83E6" w14:textId="77777777" w:rsidR="00A7613F" w:rsidRPr="004805B7" w:rsidRDefault="00A7613F" w:rsidP="00CB0430">
            <w:pPr>
              <w:spacing w:after="160" w:line="259" w:lineRule="auto"/>
              <w:rPr>
                <w:b/>
                <w:sz w:val="22"/>
                <w:lang w:val="uk"/>
              </w:rPr>
            </w:pPr>
          </w:p>
        </w:tc>
      </w:tr>
      <w:tr w:rsidR="009E0D30" w:rsidRPr="004805B7" w14:paraId="6A586122" w14:textId="77777777" w:rsidTr="00CB0430">
        <w:tc>
          <w:tcPr>
            <w:tcW w:w="1615" w:type="dxa"/>
          </w:tcPr>
          <w:p w14:paraId="0CC660A2" w14:textId="77777777" w:rsidR="00A7613F" w:rsidRPr="004805B7" w:rsidRDefault="004805B7" w:rsidP="00CB0430">
            <w:pPr>
              <w:spacing w:after="160" w:line="259" w:lineRule="auto"/>
              <w:rPr>
                <w:b/>
                <w:sz w:val="22"/>
                <w:lang w:val="ru-RU"/>
              </w:rPr>
            </w:pPr>
            <w:r>
              <w:rPr>
                <w:b/>
                <w:sz w:val="22"/>
                <w:lang w:val="uk"/>
              </w:rPr>
              <w:t>Класифікація екологічних та соціальних ризиків</w:t>
            </w:r>
          </w:p>
        </w:tc>
        <w:tc>
          <w:tcPr>
            <w:tcW w:w="7735" w:type="dxa"/>
          </w:tcPr>
          <w:p w14:paraId="3175EEDC" w14:textId="77777777" w:rsidR="00A7613F" w:rsidRPr="004805B7" w:rsidRDefault="004805B7" w:rsidP="00CB0430">
            <w:pPr>
              <w:spacing w:line="256" w:lineRule="exact"/>
              <w:jc w:val="both"/>
              <w:rPr>
                <w:bCs/>
                <w:sz w:val="22"/>
                <w:lang w:val="uk"/>
              </w:rPr>
            </w:pPr>
            <w:r>
              <w:rPr>
                <w:b/>
                <w:sz w:val="22"/>
                <w:lang w:val="uk"/>
              </w:rPr>
              <w:t xml:space="preserve">Екологічні та соціальні ризики проєкту класифікуються як суттєві. </w:t>
            </w:r>
            <w:r w:rsidRPr="00FB32F1">
              <w:rPr>
                <w:bCs/>
                <w:sz w:val="22"/>
                <w:lang w:val="uk"/>
              </w:rPr>
              <w:t xml:space="preserve">Екологічні ризики та впливи в основному пов'язані з будівельними роботами, пов'язаними з </w:t>
            </w:r>
            <w:r>
              <w:rPr>
                <w:bCs/>
                <w:sz w:val="22"/>
                <w:lang w:val="uk"/>
              </w:rPr>
              <w:t>проєкт</w:t>
            </w:r>
            <w:r w:rsidRPr="00FB32F1">
              <w:rPr>
                <w:bCs/>
                <w:sz w:val="22"/>
                <w:lang w:val="uk"/>
              </w:rPr>
              <w:t>ом (для відновлення / створення інфраструктури / встановлення обладнання), і включають потенційне збільшен</w:t>
            </w:r>
            <w:r w:rsidR="007B0F35">
              <w:rPr>
                <w:bCs/>
                <w:sz w:val="22"/>
                <w:lang w:val="uk"/>
              </w:rPr>
              <w:t>ня забруднення через неналежне</w:t>
            </w:r>
            <w:r w:rsidRPr="00FB32F1">
              <w:rPr>
                <w:bCs/>
                <w:sz w:val="22"/>
                <w:lang w:val="uk"/>
              </w:rPr>
              <w:t xml:space="preserve"> обслуговування, поводження та зберігання будівельних матеріалів та відходів; тимчасовий вплив на перехресний дренаж; вплив на якість води / ґрунту у разі забруднення </w:t>
            </w:r>
            <w:r w:rsidR="007B0F35">
              <w:rPr>
                <w:bCs/>
                <w:sz w:val="22"/>
                <w:lang w:val="uk"/>
              </w:rPr>
              <w:t>в ході будівництва</w:t>
            </w:r>
            <w:r w:rsidRPr="00FB32F1">
              <w:rPr>
                <w:bCs/>
                <w:sz w:val="22"/>
                <w:lang w:val="uk"/>
              </w:rPr>
              <w:t xml:space="preserve">, а також вплив на навколишнє середовище, спричинений постачанням матеріалів; створення надмірного шуму </w:t>
            </w:r>
            <w:r w:rsidRPr="00FB32F1">
              <w:rPr>
                <w:bCs/>
                <w:sz w:val="22"/>
                <w:lang w:val="uk"/>
              </w:rPr>
              <w:lastRenderedPageBreak/>
              <w:t>та запиленості від вантажівок та іншої будівельної техніки; порушення ґрунту під час земляних робіт; вирубка дерев та втрата рослинності; негативний вплив на екосистеми (через порушення); питання безпеки дорожнього руху; ризики для здоров'я та безпеки населення та працівників. Ці ризики є специф</w:t>
            </w:r>
            <w:r w:rsidR="007B0F35">
              <w:rPr>
                <w:bCs/>
                <w:sz w:val="22"/>
                <w:lang w:val="uk"/>
              </w:rPr>
              <w:t>ічними для конкретного об'єкта та</w:t>
            </w:r>
            <w:r w:rsidRPr="00FB32F1">
              <w:rPr>
                <w:bCs/>
                <w:sz w:val="22"/>
                <w:lang w:val="uk"/>
              </w:rPr>
              <w:t xml:space="preserve"> тимчасовими</w:t>
            </w:r>
            <w:r w:rsidR="007B0F35">
              <w:rPr>
                <w:bCs/>
                <w:sz w:val="22"/>
                <w:lang w:val="uk"/>
              </w:rPr>
              <w:t>,</w:t>
            </w:r>
            <w:r w:rsidRPr="00FB32F1">
              <w:rPr>
                <w:bCs/>
                <w:sz w:val="22"/>
                <w:lang w:val="uk"/>
              </w:rPr>
              <w:t xml:space="preserve"> і можуть бути пом'якшені</w:t>
            </w:r>
            <w:r w:rsidR="007B0F35">
              <w:rPr>
                <w:bCs/>
                <w:sz w:val="22"/>
                <w:lang w:val="uk"/>
              </w:rPr>
              <w:t xml:space="preserve"> за допомогою існуючих сучасних</w:t>
            </w:r>
            <w:r w:rsidRPr="00FB32F1">
              <w:rPr>
                <w:bCs/>
                <w:sz w:val="22"/>
                <w:lang w:val="uk"/>
              </w:rPr>
              <w:t xml:space="preserve"> методів будівництва. Однак, ці ризики можуть посилюватися потенційними бомбардуваннями та іншими військовими діями, </w:t>
            </w:r>
            <w:r w:rsidR="007B0F35">
              <w:rPr>
                <w:bCs/>
                <w:sz w:val="22"/>
                <w:lang w:val="uk"/>
              </w:rPr>
              <w:t>які додають елемент значної</w:t>
            </w:r>
            <w:r w:rsidRPr="00FB32F1">
              <w:rPr>
                <w:bCs/>
                <w:sz w:val="22"/>
                <w:lang w:val="uk"/>
              </w:rPr>
              <w:t xml:space="preserve"> невизначеності та ризику загибелі людей </w:t>
            </w:r>
            <w:r w:rsidR="007B0F35">
              <w:rPr>
                <w:bCs/>
                <w:sz w:val="22"/>
                <w:lang w:val="uk"/>
              </w:rPr>
              <w:t>або серйозного травмування</w:t>
            </w:r>
            <w:r w:rsidRPr="00FB32F1">
              <w:rPr>
                <w:bCs/>
                <w:sz w:val="22"/>
                <w:lang w:val="uk"/>
              </w:rPr>
              <w:t>, які не можуть бути повністю пом'якшені заходами еколог</w:t>
            </w:r>
            <w:r w:rsidR="007B0F35">
              <w:rPr>
                <w:bCs/>
                <w:sz w:val="22"/>
                <w:lang w:val="uk"/>
              </w:rPr>
              <w:t>ічного та соціального менеджменту</w:t>
            </w:r>
            <w:r w:rsidRPr="00FB32F1">
              <w:rPr>
                <w:bCs/>
                <w:sz w:val="22"/>
                <w:lang w:val="uk"/>
              </w:rPr>
              <w:t xml:space="preserve">. Крім того, існує ризик того, що об'єкти </w:t>
            </w:r>
            <w:r>
              <w:rPr>
                <w:bCs/>
                <w:sz w:val="22"/>
                <w:lang w:val="uk"/>
              </w:rPr>
              <w:t>проєкт</w:t>
            </w:r>
            <w:r w:rsidRPr="00FB32F1">
              <w:rPr>
                <w:bCs/>
                <w:sz w:val="22"/>
                <w:lang w:val="uk"/>
              </w:rPr>
              <w:t>у можуть стати мішенню для бомбардувань, що поставить під загрозу прилеглі населені пункти і працівників об'єкта. Інші ризики, пов'язані з війною, включають можливе забруднення об'єкта небезпечними сполуками (включаючи, зокрема, небезпечні медичні відходи) та вибухонебезпечними залишками війни (ВЗВ).</w:t>
            </w:r>
          </w:p>
          <w:p w14:paraId="145936C1" w14:textId="77777777" w:rsidR="00A7613F" w:rsidRPr="004805B7" w:rsidRDefault="004805B7" w:rsidP="00CB0430">
            <w:pPr>
              <w:spacing w:line="256" w:lineRule="exact"/>
              <w:jc w:val="both"/>
              <w:rPr>
                <w:bCs/>
                <w:sz w:val="22"/>
                <w:lang w:val="uk"/>
              </w:rPr>
            </w:pPr>
            <w:r w:rsidRPr="00FB32F1">
              <w:rPr>
                <w:bCs/>
                <w:sz w:val="22"/>
                <w:lang w:val="uk"/>
              </w:rPr>
              <w:t xml:space="preserve">Діяльність за </w:t>
            </w:r>
            <w:r>
              <w:rPr>
                <w:bCs/>
                <w:sz w:val="22"/>
                <w:lang w:val="uk"/>
              </w:rPr>
              <w:t>проєкт</w:t>
            </w:r>
            <w:r w:rsidR="007B0F35">
              <w:rPr>
                <w:bCs/>
                <w:sz w:val="22"/>
                <w:lang w:val="uk"/>
              </w:rPr>
              <w:t>ом планується почати з «м'яких»</w:t>
            </w:r>
            <w:r w:rsidRPr="00FB32F1">
              <w:rPr>
                <w:bCs/>
                <w:sz w:val="22"/>
                <w:lang w:val="uk"/>
              </w:rPr>
              <w:t xml:space="preserve"> заходів в короткостроковій перспективі (навчання, установка обладнання, дрібні ремонтні роботи) і перейти до більш масштабних заходів на місцях в середньостроковій перспективі (відновлення об'єктів). Одним з критеріїв вибору об'єкта буде безпека при виконанні робіт у певній місцевості. План готовності та реагування на надзвичайні ситуації</w:t>
            </w:r>
            <w:r w:rsidR="007B0F35">
              <w:rPr>
                <w:bCs/>
                <w:sz w:val="22"/>
                <w:lang w:val="uk"/>
              </w:rPr>
              <w:t xml:space="preserve"> буде підготовлений в рамках Планів екологічного і соціального менеджменту (ПЕСМ) </w:t>
            </w:r>
            <w:proofErr w:type="spellStart"/>
            <w:r w:rsidR="007B0F35">
              <w:rPr>
                <w:bCs/>
                <w:sz w:val="22"/>
                <w:lang w:val="uk"/>
              </w:rPr>
              <w:t>підпроєкту</w:t>
            </w:r>
            <w:proofErr w:type="spellEnd"/>
            <w:r w:rsidRPr="00FB32F1">
              <w:rPr>
                <w:bCs/>
                <w:sz w:val="22"/>
                <w:lang w:val="uk"/>
              </w:rPr>
              <w:t xml:space="preserve"> і включатиме заходи щодо захисту працівників </w:t>
            </w:r>
            <w:r>
              <w:rPr>
                <w:bCs/>
                <w:sz w:val="22"/>
                <w:lang w:val="uk"/>
              </w:rPr>
              <w:t>проєкт</w:t>
            </w:r>
            <w:r w:rsidRPr="00FB32F1">
              <w:rPr>
                <w:bCs/>
                <w:sz w:val="22"/>
                <w:lang w:val="uk"/>
              </w:rPr>
              <w:t>у та прилеглих громад.</w:t>
            </w:r>
          </w:p>
          <w:p w14:paraId="3D9652DE" w14:textId="77777777" w:rsidR="00A7613F" w:rsidRPr="004805B7" w:rsidRDefault="004805B7" w:rsidP="00CB0430">
            <w:pPr>
              <w:spacing w:line="256" w:lineRule="exact"/>
              <w:jc w:val="both"/>
              <w:rPr>
                <w:bCs/>
                <w:sz w:val="22"/>
                <w:lang w:val="ru-RU"/>
              </w:rPr>
            </w:pPr>
            <w:r w:rsidRPr="00FB32F1">
              <w:rPr>
                <w:bCs/>
                <w:sz w:val="22"/>
                <w:lang w:val="uk"/>
              </w:rPr>
              <w:t>Позичальник є досвідченою організацією-виконавцем з відданим своїй справі персоналом і численними регіональними мережами представників, також активно використовує сторонні методи моніторингу. ГРП позичальника буде посилений додатковими фахівцями з екологічних та соціальних питань.</w:t>
            </w:r>
          </w:p>
          <w:p w14:paraId="4AF5F6CC" w14:textId="77777777" w:rsidR="00A7613F" w:rsidRPr="004805B7" w:rsidRDefault="00A7613F" w:rsidP="00CB0430">
            <w:pPr>
              <w:spacing w:line="256" w:lineRule="exact"/>
              <w:jc w:val="both"/>
              <w:rPr>
                <w:bCs/>
                <w:sz w:val="22"/>
                <w:lang w:val="ru-RU"/>
              </w:rPr>
            </w:pPr>
          </w:p>
          <w:p w14:paraId="5909DC61" w14:textId="77777777" w:rsidR="00A7613F" w:rsidRPr="004805B7" w:rsidRDefault="004805B7" w:rsidP="00CB0430">
            <w:pPr>
              <w:spacing w:after="160"/>
              <w:jc w:val="both"/>
              <w:rPr>
                <w:b/>
                <w:sz w:val="22"/>
                <w:lang w:val="ru-RU"/>
              </w:rPr>
            </w:pPr>
            <w:r w:rsidRPr="00FB32F1">
              <w:rPr>
                <w:bCs/>
                <w:sz w:val="22"/>
                <w:lang w:val="uk"/>
              </w:rPr>
              <w:t xml:space="preserve">Заходи, підтримувані </w:t>
            </w:r>
            <w:r>
              <w:rPr>
                <w:bCs/>
                <w:sz w:val="22"/>
                <w:lang w:val="uk"/>
              </w:rPr>
              <w:t>Проєкт</w:t>
            </w:r>
            <w:r w:rsidRPr="00FB32F1">
              <w:rPr>
                <w:bCs/>
                <w:sz w:val="22"/>
                <w:lang w:val="uk"/>
              </w:rPr>
              <w:t xml:space="preserve">ом, будуть проходити в умовах значного рівня нестабільності, непідконтрольних безпосередньо організації-виконавцю, і включатимуть ризики для здоров'я, охорони праці та техніки безпеки, пов'язані з російським військовим вторгненням. Тому, соціальний ризик </w:t>
            </w:r>
            <w:r>
              <w:rPr>
                <w:bCs/>
                <w:sz w:val="22"/>
                <w:lang w:val="uk"/>
              </w:rPr>
              <w:t>проєкт</w:t>
            </w:r>
            <w:r w:rsidRPr="00FB32F1">
              <w:rPr>
                <w:bCs/>
                <w:sz w:val="22"/>
                <w:lang w:val="uk"/>
              </w:rPr>
              <w:t xml:space="preserve">у класифікується як суттєвий. Превентивні заходи, необхідні для здійснення діяльності </w:t>
            </w:r>
            <w:r>
              <w:rPr>
                <w:bCs/>
                <w:sz w:val="22"/>
                <w:lang w:val="uk"/>
              </w:rPr>
              <w:t>проєкт</w:t>
            </w:r>
            <w:r w:rsidRPr="00FB32F1">
              <w:rPr>
                <w:bCs/>
                <w:sz w:val="22"/>
                <w:lang w:val="uk"/>
              </w:rPr>
              <w:t xml:space="preserve">у в умовах надзвичайної ситуації, будуть описані в Плані екологічних та соціальних зобов'язань </w:t>
            </w:r>
            <w:r>
              <w:rPr>
                <w:bCs/>
                <w:sz w:val="22"/>
                <w:lang w:val="uk"/>
              </w:rPr>
              <w:t>проєкт</w:t>
            </w:r>
            <w:r w:rsidRPr="00FB32F1">
              <w:rPr>
                <w:bCs/>
                <w:sz w:val="22"/>
                <w:lang w:val="uk"/>
              </w:rPr>
              <w:t xml:space="preserve">у (ПЕСЗ) та Операційному посібнику </w:t>
            </w:r>
            <w:r>
              <w:rPr>
                <w:bCs/>
                <w:sz w:val="22"/>
                <w:lang w:val="uk"/>
              </w:rPr>
              <w:t>проєкт</w:t>
            </w:r>
            <w:r w:rsidRPr="00FB32F1">
              <w:rPr>
                <w:bCs/>
                <w:sz w:val="22"/>
                <w:lang w:val="uk"/>
              </w:rPr>
              <w:t xml:space="preserve">у (ОПП). До них відносяться принципи розкриття інформації та консультацій, розгляду та врегулювання скарг, моніторингу та звітності ESIRT призначеним координатором з екологічних та соціальних питань. </w:t>
            </w:r>
            <w:proofErr w:type="spellStart"/>
            <w:r>
              <w:rPr>
                <w:bCs/>
                <w:sz w:val="22"/>
                <w:lang w:val="uk"/>
              </w:rPr>
              <w:t>Проєкт</w:t>
            </w:r>
            <w:proofErr w:type="spellEnd"/>
            <w:r w:rsidRPr="00FB32F1">
              <w:rPr>
                <w:bCs/>
                <w:sz w:val="22"/>
                <w:lang w:val="uk"/>
              </w:rPr>
              <w:t xml:space="preserve"> спрямований на відновлення зв'язку пацієнтів з постачальниками первинної медичної допомоги, в тому числі в нових</w:t>
            </w:r>
            <w:r w:rsidR="007B0F35">
              <w:rPr>
                <w:bCs/>
                <w:sz w:val="22"/>
                <w:lang w:val="uk"/>
              </w:rPr>
              <w:t xml:space="preserve"> для них</w:t>
            </w:r>
            <w:r w:rsidRPr="00FB32F1">
              <w:rPr>
                <w:bCs/>
                <w:sz w:val="22"/>
                <w:lang w:val="uk"/>
              </w:rPr>
              <w:t xml:space="preserve"> населених пунктах, в які вони були переміщені, щоб забезпечити майбутній доступ до основних профілактичних медичних послуг (як-от підтримка психічного здоров'я, імунізація), а також надолужити надання послуг в галузі охорони здоров'я, які неможливо було надавати через конфлікт. Роботи, пов'язані з </w:t>
            </w:r>
            <w:r>
              <w:rPr>
                <w:bCs/>
                <w:sz w:val="22"/>
                <w:lang w:val="uk"/>
              </w:rPr>
              <w:t>проєкт</w:t>
            </w:r>
            <w:r w:rsidRPr="00FB32F1">
              <w:rPr>
                <w:bCs/>
                <w:sz w:val="22"/>
                <w:lang w:val="uk"/>
              </w:rPr>
              <w:t>о</w:t>
            </w:r>
            <w:r w:rsidR="007B0F35">
              <w:rPr>
                <w:bCs/>
                <w:sz w:val="22"/>
                <w:lang w:val="uk"/>
              </w:rPr>
              <w:t>м, повинні проводитися в регіонах</w:t>
            </w:r>
            <w:r w:rsidRPr="00FB32F1">
              <w:rPr>
                <w:bCs/>
                <w:sz w:val="22"/>
                <w:lang w:val="uk"/>
              </w:rPr>
              <w:t xml:space="preserve"> країни, які знаходяться на достатній відстані від території бойових дій, і в рамках </w:t>
            </w:r>
            <w:r>
              <w:rPr>
                <w:bCs/>
                <w:sz w:val="22"/>
                <w:lang w:val="uk"/>
              </w:rPr>
              <w:t>проєкт</w:t>
            </w:r>
            <w:r w:rsidRPr="00FB32F1">
              <w:rPr>
                <w:bCs/>
                <w:sz w:val="22"/>
                <w:lang w:val="uk"/>
              </w:rPr>
              <w:t>у не планується використовувати військових або поліцію в цілях безпеки. Одн</w:t>
            </w:r>
            <w:r w:rsidR="007116AF">
              <w:rPr>
                <w:bCs/>
                <w:sz w:val="22"/>
                <w:lang w:val="uk"/>
              </w:rPr>
              <w:t>ак, ці об'єкти, ймовірно, все одно</w:t>
            </w:r>
            <w:r w:rsidRPr="00FB32F1">
              <w:rPr>
                <w:bCs/>
                <w:sz w:val="22"/>
                <w:lang w:val="uk"/>
              </w:rPr>
              <w:t xml:space="preserve"> піддаються ризику невибіркових або цілеспрямованих бомбардувань, які зараз </w:t>
            </w:r>
            <w:r w:rsidR="007116AF">
              <w:rPr>
                <w:bCs/>
                <w:sz w:val="22"/>
                <w:lang w:val="uk"/>
              </w:rPr>
              <w:t>мають місце</w:t>
            </w:r>
            <w:r w:rsidRPr="00FB32F1">
              <w:rPr>
                <w:bCs/>
                <w:sz w:val="22"/>
                <w:lang w:val="uk"/>
              </w:rPr>
              <w:t xml:space="preserve"> </w:t>
            </w:r>
            <w:r w:rsidRPr="00FB32F1">
              <w:rPr>
                <w:bCs/>
                <w:sz w:val="22"/>
                <w:lang w:val="uk"/>
              </w:rPr>
              <w:lastRenderedPageBreak/>
              <w:t xml:space="preserve">по всій країні. Існує ризик того, що об'єкти інфраструктури </w:t>
            </w:r>
            <w:r w:rsidR="007116AF">
              <w:rPr>
                <w:bCs/>
                <w:sz w:val="22"/>
                <w:lang w:val="uk"/>
              </w:rPr>
              <w:t xml:space="preserve">сектору </w:t>
            </w:r>
            <w:r w:rsidRPr="00FB32F1">
              <w:rPr>
                <w:bCs/>
                <w:sz w:val="22"/>
                <w:lang w:val="uk"/>
              </w:rPr>
              <w:t>охорони здоров'я та прилеглі населені пункти можуть зазнати впливу таких атак.</w:t>
            </w:r>
          </w:p>
        </w:tc>
      </w:tr>
    </w:tbl>
    <w:p w14:paraId="5B9344C5" w14:textId="77777777" w:rsidR="00A7613F" w:rsidRPr="004805B7" w:rsidRDefault="00A7613F" w:rsidP="00A7613F">
      <w:pPr>
        <w:spacing w:after="160" w:line="259" w:lineRule="auto"/>
        <w:rPr>
          <w:b/>
          <w:sz w:val="22"/>
          <w:lang w:val="ru-RU"/>
        </w:rPr>
      </w:pPr>
    </w:p>
    <w:p w14:paraId="3BC2173A" w14:textId="77777777" w:rsidR="00A7613F" w:rsidRDefault="004805B7" w:rsidP="00A7613F">
      <w:pPr>
        <w:spacing w:after="160" w:line="259" w:lineRule="auto"/>
        <w:rPr>
          <w:b/>
          <w:sz w:val="22"/>
        </w:rPr>
      </w:pPr>
      <w:r>
        <w:rPr>
          <w:b/>
          <w:sz w:val="22"/>
          <w:lang w:val="uk"/>
        </w:rPr>
        <w:t>Визначення та аналіз зацікавлених сторін</w:t>
      </w:r>
    </w:p>
    <w:p w14:paraId="2001E7DC" w14:textId="77777777" w:rsidR="00A7613F" w:rsidRDefault="00A7613F" w:rsidP="00A7613F">
      <w:pPr>
        <w:rPr>
          <w:b/>
          <w:sz w:val="22"/>
        </w:rPr>
      </w:pPr>
    </w:p>
    <w:tbl>
      <w:tblPr>
        <w:tblStyle w:val="a5"/>
        <w:tblW w:w="0" w:type="auto"/>
        <w:tblLook w:val="04A0" w:firstRow="1" w:lastRow="0" w:firstColumn="1" w:lastColumn="0" w:noHBand="0" w:noVBand="1"/>
      </w:tblPr>
      <w:tblGrid>
        <w:gridCol w:w="2983"/>
        <w:gridCol w:w="4268"/>
        <w:gridCol w:w="1042"/>
        <w:gridCol w:w="1157"/>
      </w:tblGrid>
      <w:tr w:rsidR="009E0D30" w14:paraId="3B57A084" w14:textId="77777777" w:rsidTr="00CB0430">
        <w:tc>
          <w:tcPr>
            <w:tcW w:w="3041" w:type="dxa"/>
            <w:vMerge w:val="restart"/>
            <w:shd w:val="clear" w:color="auto" w:fill="D5DCE4" w:themeFill="text2" w:themeFillTint="33"/>
          </w:tcPr>
          <w:p w14:paraId="0428A9F5" w14:textId="77777777" w:rsidR="00A7613F" w:rsidRDefault="004805B7" w:rsidP="00CB0430">
            <w:r>
              <w:rPr>
                <w:b/>
                <w:sz w:val="22"/>
                <w:lang w:val="uk"/>
              </w:rPr>
              <w:t>Група зацікавлених сторін</w:t>
            </w:r>
          </w:p>
        </w:tc>
        <w:tc>
          <w:tcPr>
            <w:tcW w:w="4392" w:type="dxa"/>
            <w:vMerge w:val="restart"/>
            <w:shd w:val="clear" w:color="auto" w:fill="D5DCE4" w:themeFill="text2" w:themeFillTint="33"/>
          </w:tcPr>
          <w:p w14:paraId="270CD6F9" w14:textId="77777777" w:rsidR="00A7613F" w:rsidRPr="00A07B95" w:rsidRDefault="004805B7" w:rsidP="00CB0430">
            <w:pPr>
              <w:rPr>
                <w:b/>
                <w:sz w:val="22"/>
              </w:rPr>
            </w:pPr>
            <w:r>
              <w:rPr>
                <w:b/>
                <w:sz w:val="22"/>
                <w:lang w:val="uk"/>
              </w:rPr>
              <w:t>Інтереси</w:t>
            </w:r>
          </w:p>
        </w:tc>
        <w:tc>
          <w:tcPr>
            <w:tcW w:w="2017" w:type="dxa"/>
            <w:gridSpan w:val="2"/>
            <w:shd w:val="clear" w:color="auto" w:fill="D5DCE4" w:themeFill="text2" w:themeFillTint="33"/>
          </w:tcPr>
          <w:p w14:paraId="329FE66D" w14:textId="77777777" w:rsidR="00A7613F" w:rsidRPr="00A07B95" w:rsidRDefault="004805B7" w:rsidP="00CB0430">
            <w:pPr>
              <w:jc w:val="center"/>
              <w:rPr>
                <w:b/>
                <w:sz w:val="22"/>
              </w:rPr>
            </w:pPr>
            <w:r>
              <w:rPr>
                <w:b/>
                <w:sz w:val="22"/>
                <w:lang w:val="uk"/>
              </w:rPr>
              <w:t>Вплив</w:t>
            </w:r>
          </w:p>
        </w:tc>
      </w:tr>
      <w:tr w:rsidR="009E0D30" w14:paraId="44A9739F" w14:textId="77777777" w:rsidTr="00CB0430">
        <w:tc>
          <w:tcPr>
            <w:tcW w:w="3041" w:type="dxa"/>
            <w:vMerge/>
            <w:shd w:val="clear" w:color="auto" w:fill="D5DCE4" w:themeFill="text2" w:themeFillTint="33"/>
          </w:tcPr>
          <w:p w14:paraId="2BB5B548" w14:textId="77777777" w:rsidR="00A7613F" w:rsidRDefault="00A7613F" w:rsidP="00CB0430"/>
        </w:tc>
        <w:tc>
          <w:tcPr>
            <w:tcW w:w="4392" w:type="dxa"/>
            <w:vMerge/>
            <w:shd w:val="clear" w:color="auto" w:fill="D5DCE4" w:themeFill="text2" w:themeFillTint="33"/>
          </w:tcPr>
          <w:p w14:paraId="74F85003" w14:textId="77777777" w:rsidR="00A7613F" w:rsidRPr="00A07B95" w:rsidRDefault="00A7613F" w:rsidP="00CB0430">
            <w:pPr>
              <w:rPr>
                <w:b/>
                <w:sz w:val="22"/>
              </w:rPr>
            </w:pPr>
          </w:p>
        </w:tc>
        <w:tc>
          <w:tcPr>
            <w:tcW w:w="989" w:type="dxa"/>
            <w:shd w:val="clear" w:color="auto" w:fill="D5DCE4" w:themeFill="text2" w:themeFillTint="33"/>
          </w:tcPr>
          <w:p w14:paraId="75228084" w14:textId="77777777" w:rsidR="00A7613F" w:rsidRPr="00A07B95" w:rsidRDefault="004805B7" w:rsidP="00CB0430">
            <w:pPr>
              <w:rPr>
                <w:b/>
                <w:sz w:val="22"/>
              </w:rPr>
            </w:pPr>
            <w:r w:rsidRPr="00A07B95">
              <w:rPr>
                <w:b/>
                <w:sz w:val="22"/>
                <w:lang w:val="uk"/>
              </w:rPr>
              <w:t>Інтерес</w:t>
            </w:r>
          </w:p>
        </w:tc>
        <w:tc>
          <w:tcPr>
            <w:tcW w:w="1028" w:type="dxa"/>
            <w:shd w:val="clear" w:color="auto" w:fill="D5DCE4" w:themeFill="text2" w:themeFillTint="33"/>
          </w:tcPr>
          <w:p w14:paraId="47A94ADA" w14:textId="77777777" w:rsidR="00A7613F" w:rsidRDefault="004805B7" w:rsidP="00CB0430">
            <w:r w:rsidRPr="00A07B95">
              <w:rPr>
                <w:b/>
                <w:sz w:val="22"/>
                <w:lang w:val="uk"/>
              </w:rPr>
              <w:t>Вплив</w:t>
            </w:r>
          </w:p>
        </w:tc>
      </w:tr>
      <w:tr w:rsidR="009E0D30" w:rsidRPr="004805B7" w14:paraId="3AD49593" w14:textId="77777777" w:rsidTr="00CB0430">
        <w:tc>
          <w:tcPr>
            <w:tcW w:w="9450" w:type="dxa"/>
            <w:gridSpan w:val="4"/>
            <w:shd w:val="clear" w:color="auto" w:fill="D5DCE4" w:themeFill="text2" w:themeFillTint="33"/>
          </w:tcPr>
          <w:p w14:paraId="33C58037" w14:textId="77777777" w:rsidR="00A7613F" w:rsidRPr="004805B7" w:rsidRDefault="00113CF6" w:rsidP="00CB0430">
            <w:pPr>
              <w:rPr>
                <w:lang w:val="ru-RU"/>
              </w:rPr>
            </w:pPr>
            <w:r>
              <w:rPr>
                <w:b/>
                <w:sz w:val="22"/>
                <w:lang w:val="uk"/>
              </w:rPr>
              <w:t>Сторони, які зазнають впливу</w:t>
            </w:r>
            <w:r w:rsidR="004805B7">
              <w:rPr>
                <w:b/>
                <w:sz w:val="22"/>
                <w:lang w:val="uk"/>
              </w:rPr>
              <w:t xml:space="preserve"> проєкт</w:t>
            </w:r>
            <w:r>
              <w:rPr>
                <w:b/>
                <w:sz w:val="22"/>
                <w:lang w:val="uk"/>
              </w:rPr>
              <w:t>у</w:t>
            </w:r>
          </w:p>
        </w:tc>
      </w:tr>
      <w:tr w:rsidR="009E0D30" w:rsidRPr="004805B7" w14:paraId="6E436209" w14:textId="77777777" w:rsidTr="00CB0430">
        <w:tc>
          <w:tcPr>
            <w:tcW w:w="9450" w:type="dxa"/>
            <w:gridSpan w:val="4"/>
            <w:shd w:val="clear" w:color="auto" w:fill="D5DCE4" w:themeFill="text2" w:themeFillTint="33"/>
          </w:tcPr>
          <w:p w14:paraId="087AE8D8" w14:textId="77777777" w:rsidR="00A7613F" w:rsidRPr="004805B7" w:rsidRDefault="004805B7" w:rsidP="00CB0430">
            <w:pPr>
              <w:jc w:val="both"/>
              <w:rPr>
                <w:b/>
                <w:sz w:val="22"/>
                <w:szCs w:val="22"/>
                <w:lang w:val="ru-RU"/>
              </w:rPr>
            </w:pPr>
            <w:r w:rsidRPr="00AA7F94">
              <w:rPr>
                <w:b/>
                <w:sz w:val="22"/>
                <w:szCs w:val="22"/>
                <w:lang w:val="uk"/>
              </w:rPr>
              <w:t>Компонент 1</w:t>
            </w:r>
            <w:r w:rsidRPr="000167BA">
              <w:rPr>
                <w:rFonts w:cs="Calibri"/>
                <w:b/>
                <w:bCs/>
                <w:color w:val="000000" w:themeColor="text1"/>
                <w:sz w:val="22"/>
                <w:szCs w:val="22"/>
                <w:lang w:val="uk"/>
              </w:rPr>
              <w:t xml:space="preserve">: </w:t>
            </w:r>
            <w:r w:rsidR="00113CF6" w:rsidRPr="00113CF6">
              <w:rPr>
                <w:b/>
                <w:sz w:val="22"/>
                <w:szCs w:val="22"/>
                <w:lang w:val="uk"/>
              </w:rPr>
              <w:t>Задоволення нових потреб в секторі охорони здоров'я щодо психічного здоров'я та реабілітації</w:t>
            </w:r>
          </w:p>
        </w:tc>
      </w:tr>
      <w:tr w:rsidR="009E0D30" w14:paraId="0E028C2A" w14:textId="77777777" w:rsidTr="00CB0430">
        <w:tc>
          <w:tcPr>
            <w:tcW w:w="3041" w:type="dxa"/>
          </w:tcPr>
          <w:p w14:paraId="2A14DC9F" w14:textId="77777777" w:rsidR="00A7613F" w:rsidRPr="004805B7" w:rsidRDefault="004805B7" w:rsidP="00CB0430">
            <w:pPr>
              <w:rPr>
                <w:sz w:val="22"/>
                <w:szCs w:val="22"/>
                <w:lang w:val="ru-RU"/>
              </w:rPr>
            </w:pPr>
            <w:r w:rsidRPr="00AA7F94">
              <w:rPr>
                <w:sz w:val="22"/>
                <w:szCs w:val="22"/>
                <w:lang w:val="uk"/>
              </w:rPr>
              <w:t>Особи з проблемами психічного здоров'я</w:t>
            </w:r>
          </w:p>
        </w:tc>
        <w:tc>
          <w:tcPr>
            <w:tcW w:w="4392" w:type="dxa"/>
          </w:tcPr>
          <w:p w14:paraId="7D608238" w14:textId="77777777" w:rsidR="00A7613F" w:rsidRPr="004805B7" w:rsidRDefault="004805B7" w:rsidP="00CB0430">
            <w:pPr>
              <w:rPr>
                <w:sz w:val="22"/>
                <w:szCs w:val="22"/>
                <w:lang w:val="ru-RU"/>
              </w:rPr>
            </w:pPr>
            <w:r w:rsidRPr="00AA7F94">
              <w:rPr>
                <w:sz w:val="22"/>
                <w:szCs w:val="22"/>
                <w:lang w:val="uk"/>
              </w:rPr>
              <w:t>Отримання послуг з реабілітації психічного здоров'я, що надаються постачальниками послуг</w:t>
            </w:r>
          </w:p>
        </w:tc>
        <w:tc>
          <w:tcPr>
            <w:tcW w:w="989" w:type="dxa"/>
          </w:tcPr>
          <w:p w14:paraId="7A70A2F7" w14:textId="77777777" w:rsidR="00A7613F" w:rsidRDefault="004805B7" w:rsidP="00CB0430">
            <w:r>
              <w:rPr>
                <w:lang w:val="uk"/>
              </w:rPr>
              <w:t>В</w:t>
            </w:r>
            <w:r w:rsidR="00113CF6">
              <w:rPr>
                <w:lang w:val="uk"/>
              </w:rPr>
              <w:t xml:space="preserve"> (високий)</w:t>
            </w:r>
          </w:p>
        </w:tc>
        <w:tc>
          <w:tcPr>
            <w:tcW w:w="1028" w:type="dxa"/>
          </w:tcPr>
          <w:p w14:paraId="4E28CB0D" w14:textId="77777777" w:rsidR="00A7613F" w:rsidRDefault="004805B7" w:rsidP="00CB0430">
            <w:r>
              <w:rPr>
                <w:lang w:val="uk"/>
              </w:rPr>
              <w:t>В</w:t>
            </w:r>
          </w:p>
        </w:tc>
      </w:tr>
      <w:tr w:rsidR="009E0D30" w14:paraId="634700A4" w14:textId="77777777" w:rsidTr="00CB0430">
        <w:tc>
          <w:tcPr>
            <w:tcW w:w="3041" w:type="dxa"/>
          </w:tcPr>
          <w:p w14:paraId="12C7E3F4" w14:textId="77777777" w:rsidR="00A7613F" w:rsidRPr="004805B7" w:rsidRDefault="004805B7" w:rsidP="00CB0430">
            <w:pPr>
              <w:rPr>
                <w:sz w:val="22"/>
                <w:szCs w:val="22"/>
                <w:lang w:val="ru-RU"/>
              </w:rPr>
            </w:pPr>
            <w:r w:rsidRPr="00AA7F94">
              <w:rPr>
                <w:sz w:val="22"/>
                <w:szCs w:val="22"/>
                <w:lang w:val="uk"/>
              </w:rPr>
              <w:t>По</w:t>
            </w:r>
            <w:r w:rsidR="00113CF6">
              <w:rPr>
                <w:sz w:val="22"/>
                <w:szCs w:val="22"/>
                <w:lang w:val="uk"/>
              </w:rPr>
              <w:t>стачальники послуг з охорони</w:t>
            </w:r>
            <w:r w:rsidRPr="00AA7F94">
              <w:rPr>
                <w:sz w:val="22"/>
                <w:szCs w:val="22"/>
                <w:lang w:val="uk"/>
              </w:rPr>
              <w:t xml:space="preserve"> психічного здоров'я </w:t>
            </w:r>
          </w:p>
        </w:tc>
        <w:tc>
          <w:tcPr>
            <w:tcW w:w="4392" w:type="dxa"/>
          </w:tcPr>
          <w:p w14:paraId="1980C010" w14:textId="77777777" w:rsidR="00A7613F" w:rsidRPr="004805B7" w:rsidRDefault="004805B7" w:rsidP="00CB0430">
            <w:pPr>
              <w:rPr>
                <w:sz w:val="22"/>
                <w:szCs w:val="22"/>
                <w:lang w:val="ru-RU"/>
              </w:rPr>
            </w:pPr>
            <w:r w:rsidRPr="00AA7F94">
              <w:rPr>
                <w:sz w:val="22"/>
                <w:szCs w:val="22"/>
                <w:lang w:val="uk"/>
              </w:rPr>
              <w:t xml:space="preserve">Заклади, </w:t>
            </w:r>
            <w:r w:rsidR="00113CF6">
              <w:rPr>
                <w:sz w:val="22"/>
                <w:szCs w:val="22"/>
                <w:lang w:val="uk"/>
              </w:rPr>
              <w:t>що надають послуги з охорони</w:t>
            </w:r>
            <w:r w:rsidRPr="00AA7F94">
              <w:rPr>
                <w:sz w:val="22"/>
                <w:szCs w:val="22"/>
                <w:lang w:val="uk"/>
              </w:rPr>
              <w:t xml:space="preserve"> психічного здоров'я</w:t>
            </w:r>
          </w:p>
        </w:tc>
        <w:tc>
          <w:tcPr>
            <w:tcW w:w="989" w:type="dxa"/>
          </w:tcPr>
          <w:p w14:paraId="7B54F708" w14:textId="77777777" w:rsidR="00A7613F" w:rsidRDefault="00113CF6" w:rsidP="00CB0430">
            <w:r>
              <w:rPr>
                <w:lang w:val="uk"/>
              </w:rPr>
              <w:t>З (значний)</w:t>
            </w:r>
          </w:p>
        </w:tc>
        <w:tc>
          <w:tcPr>
            <w:tcW w:w="1028" w:type="dxa"/>
          </w:tcPr>
          <w:p w14:paraId="0595EA37" w14:textId="77777777" w:rsidR="00A7613F" w:rsidRDefault="004805B7" w:rsidP="00CB0430">
            <w:r>
              <w:rPr>
                <w:lang w:val="uk"/>
              </w:rPr>
              <w:t>В</w:t>
            </w:r>
          </w:p>
        </w:tc>
      </w:tr>
      <w:tr w:rsidR="009E0D30" w14:paraId="55A943DB" w14:textId="77777777" w:rsidTr="00CB0430">
        <w:tc>
          <w:tcPr>
            <w:tcW w:w="3041" w:type="dxa"/>
          </w:tcPr>
          <w:p w14:paraId="35F08A6A" w14:textId="77777777" w:rsidR="00A7613F" w:rsidRPr="00AA7F94" w:rsidRDefault="004805B7" w:rsidP="00CB0430">
            <w:pPr>
              <w:rPr>
                <w:sz w:val="22"/>
                <w:szCs w:val="22"/>
              </w:rPr>
            </w:pPr>
            <w:r w:rsidRPr="00AA7F94">
              <w:rPr>
                <w:sz w:val="22"/>
                <w:szCs w:val="22"/>
                <w:lang w:val="uk"/>
              </w:rPr>
              <w:t>Національна служба здоров'я України</w:t>
            </w:r>
          </w:p>
        </w:tc>
        <w:tc>
          <w:tcPr>
            <w:tcW w:w="4392" w:type="dxa"/>
          </w:tcPr>
          <w:p w14:paraId="67FAE17E" w14:textId="77777777" w:rsidR="00A7613F" w:rsidRPr="00AA7F94" w:rsidRDefault="004805B7" w:rsidP="00CB0430">
            <w:pPr>
              <w:rPr>
                <w:sz w:val="22"/>
                <w:szCs w:val="22"/>
              </w:rPr>
            </w:pPr>
            <w:r w:rsidRPr="00AA7F94">
              <w:rPr>
                <w:sz w:val="22"/>
                <w:szCs w:val="22"/>
                <w:lang w:val="uk"/>
              </w:rPr>
              <w:t>Організація-виконавець компоненту</w:t>
            </w:r>
          </w:p>
        </w:tc>
        <w:tc>
          <w:tcPr>
            <w:tcW w:w="989" w:type="dxa"/>
          </w:tcPr>
          <w:p w14:paraId="1EA98893" w14:textId="77777777" w:rsidR="00A7613F" w:rsidRDefault="004805B7" w:rsidP="00CB0430">
            <w:r>
              <w:rPr>
                <w:lang w:val="uk"/>
              </w:rPr>
              <w:t>В</w:t>
            </w:r>
          </w:p>
        </w:tc>
        <w:tc>
          <w:tcPr>
            <w:tcW w:w="1028" w:type="dxa"/>
          </w:tcPr>
          <w:p w14:paraId="68E93529" w14:textId="77777777" w:rsidR="00A7613F" w:rsidRDefault="004805B7" w:rsidP="00CB0430">
            <w:r>
              <w:rPr>
                <w:lang w:val="uk"/>
              </w:rPr>
              <w:t>В</w:t>
            </w:r>
          </w:p>
        </w:tc>
      </w:tr>
      <w:tr w:rsidR="009E0D30" w14:paraId="119D45C8" w14:textId="77777777" w:rsidTr="00CB0430">
        <w:tc>
          <w:tcPr>
            <w:tcW w:w="3041" w:type="dxa"/>
          </w:tcPr>
          <w:p w14:paraId="599CF9DB" w14:textId="77777777" w:rsidR="00A7613F" w:rsidRPr="004805B7" w:rsidRDefault="00113CF6" w:rsidP="00CB0430">
            <w:pPr>
              <w:rPr>
                <w:sz w:val="22"/>
                <w:szCs w:val="22"/>
                <w:lang w:val="ru-RU"/>
              </w:rPr>
            </w:pPr>
            <w:r>
              <w:rPr>
                <w:sz w:val="22"/>
                <w:szCs w:val="22"/>
                <w:lang w:val="uk"/>
              </w:rPr>
              <w:t>Медичні заклади</w:t>
            </w:r>
          </w:p>
        </w:tc>
        <w:tc>
          <w:tcPr>
            <w:tcW w:w="4392" w:type="dxa"/>
          </w:tcPr>
          <w:p w14:paraId="762A2377" w14:textId="77777777" w:rsidR="00A7613F" w:rsidRPr="003A467D" w:rsidRDefault="00113CF6" w:rsidP="00CB0430">
            <w:pPr>
              <w:rPr>
                <w:sz w:val="22"/>
                <w:szCs w:val="22"/>
                <w:lang w:val="uk-UA"/>
              </w:rPr>
            </w:pPr>
            <w:r w:rsidRPr="003A467D">
              <w:rPr>
                <w:sz w:val="22"/>
                <w:szCs w:val="22"/>
                <w:lang w:val="uk-UA"/>
              </w:rPr>
              <w:t>Визначення</w:t>
            </w:r>
            <w:r w:rsidR="004805B7" w:rsidRPr="003A467D">
              <w:rPr>
                <w:sz w:val="22"/>
                <w:szCs w:val="22"/>
                <w:lang w:val="uk-UA"/>
              </w:rPr>
              <w:t xml:space="preserve"> необхідності проходження п</w:t>
            </w:r>
            <w:r w:rsidRPr="003A467D">
              <w:rPr>
                <w:sz w:val="22"/>
                <w:szCs w:val="22"/>
                <w:lang w:val="uk-UA"/>
              </w:rPr>
              <w:t>ерсоналом тренінгу з охорони</w:t>
            </w:r>
            <w:r w:rsidR="004805B7" w:rsidRPr="003A467D">
              <w:rPr>
                <w:sz w:val="22"/>
                <w:szCs w:val="22"/>
                <w:lang w:val="uk-UA"/>
              </w:rPr>
              <w:t xml:space="preserve"> психічного здоров'я відповідно до формалізованих критеріїв</w:t>
            </w:r>
          </w:p>
        </w:tc>
        <w:tc>
          <w:tcPr>
            <w:tcW w:w="989" w:type="dxa"/>
          </w:tcPr>
          <w:p w14:paraId="499F956D" w14:textId="77777777" w:rsidR="00A7613F" w:rsidRDefault="00113CF6" w:rsidP="00CB0430">
            <w:r>
              <w:rPr>
                <w:lang w:val="uk"/>
              </w:rPr>
              <w:t>З</w:t>
            </w:r>
          </w:p>
        </w:tc>
        <w:tc>
          <w:tcPr>
            <w:tcW w:w="1028" w:type="dxa"/>
          </w:tcPr>
          <w:p w14:paraId="0A34408E" w14:textId="77777777" w:rsidR="00A7613F" w:rsidRDefault="00113CF6" w:rsidP="00CB0430">
            <w:r>
              <w:rPr>
                <w:lang w:val="uk"/>
              </w:rPr>
              <w:t>З</w:t>
            </w:r>
          </w:p>
        </w:tc>
      </w:tr>
      <w:tr w:rsidR="009E0D30" w:rsidRPr="004805B7" w14:paraId="3927E2CD" w14:textId="77777777" w:rsidTr="00CB0430">
        <w:tc>
          <w:tcPr>
            <w:tcW w:w="9450" w:type="dxa"/>
            <w:gridSpan w:val="4"/>
            <w:shd w:val="clear" w:color="auto" w:fill="D5DCE4" w:themeFill="text2" w:themeFillTint="33"/>
          </w:tcPr>
          <w:p w14:paraId="598AB3FD" w14:textId="77777777" w:rsidR="00A7613F" w:rsidRPr="004805B7" w:rsidRDefault="004805B7" w:rsidP="00CB0430">
            <w:pPr>
              <w:rPr>
                <w:b/>
                <w:sz w:val="22"/>
                <w:szCs w:val="22"/>
                <w:lang w:val="ru-RU"/>
              </w:rPr>
            </w:pPr>
            <w:r w:rsidRPr="00AA7F94">
              <w:rPr>
                <w:b/>
                <w:sz w:val="22"/>
                <w:szCs w:val="22"/>
                <w:lang w:val="uk"/>
              </w:rPr>
              <w:t>Компонент 2</w:t>
            </w:r>
            <w:r w:rsidRPr="03BF734D">
              <w:rPr>
                <w:rFonts w:cs="Calibri"/>
                <w:b/>
                <w:bCs/>
                <w:color w:val="000000" w:themeColor="text1"/>
                <w:sz w:val="22"/>
                <w:szCs w:val="22"/>
                <w:lang w:val="uk"/>
              </w:rPr>
              <w:t xml:space="preserve">: </w:t>
            </w:r>
            <w:r w:rsidR="003A467D" w:rsidRPr="003A467D">
              <w:rPr>
                <w:rFonts w:cs="Calibri"/>
                <w:b/>
                <w:bCs/>
                <w:color w:val="000000" w:themeColor="text1"/>
                <w:sz w:val="22"/>
                <w:szCs w:val="22"/>
                <w:lang w:val="uk"/>
              </w:rPr>
              <w:t>Подальше вдосконалення та зміцнення первинної медико-санітарної допомоги</w:t>
            </w:r>
            <w:r w:rsidR="003A467D" w:rsidRPr="6D4F866A">
              <w:rPr>
                <w:rFonts w:cs="Calibri"/>
                <w:i/>
                <w:iCs/>
                <w:color w:val="000000" w:themeColor="text1"/>
                <w:sz w:val="22"/>
                <w:szCs w:val="22"/>
                <w:lang w:val="uk"/>
              </w:rPr>
              <w:t xml:space="preserve"> </w:t>
            </w:r>
          </w:p>
        </w:tc>
      </w:tr>
      <w:tr w:rsidR="009E0D30" w14:paraId="56D18DB9" w14:textId="77777777" w:rsidTr="00CB0430">
        <w:tc>
          <w:tcPr>
            <w:tcW w:w="3041" w:type="dxa"/>
          </w:tcPr>
          <w:p w14:paraId="4A34AFE8" w14:textId="77777777" w:rsidR="00A7613F" w:rsidRPr="00AA7F94" w:rsidRDefault="004805B7" w:rsidP="00CB0430">
            <w:pPr>
              <w:rPr>
                <w:sz w:val="22"/>
                <w:szCs w:val="22"/>
              </w:rPr>
            </w:pPr>
            <w:r w:rsidRPr="00AA7F94">
              <w:rPr>
                <w:sz w:val="22"/>
                <w:szCs w:val="22"/>
                <w:lang w:val="uk"/>
              </w:rPr>
              <w:t>Населення в місцевих громадах</w:t>
            </w:r>
          </w:p>
        </w:tc>
        <w:tc>
          <w:tcPr>
            <w:tcW w:w="4392" w:type="dxa"/>
          </w:tcPr>
          <w:p w14:paraId="624D4486" w14:textId="77777777" w:rsidR="00A7613F" w:rsidRPr="004805B7" w:rsidRDefault="004805B7" w:rsidP="00CB0430">
            <w:pPr>
              <w:rPr>
                <w:sz w:val="22"/>
                <w:szCs w:val="22"/>
                <w:lang w:val="ru-RU"/>
              </w:rPr>
            </w:pPr>
            <w:r w:rsidRPr="00AA7F94">
              <w:rPr>
                <w:sz w:val="22"/>
                <w:szCs w:val="22"/>
                <w:lang w:val="uk"/>
              </w:rPr>
              <w:t>Відновлення доступу до основних медичних послуг поблизу від їх</w:t>
            </w:r>
            <w:r w:rsidR="003A467D">
              <w:rPr>
                <w:sz w:val="22"/>
                <w:szCs w:val="22"/>
                <w:lang w:val="uk"/>
              </w:rPr>
              <w:t>нього</w:t>
            </w:r>
            <w:r w:rsidRPr="00AA7F94">
              <w:rPr>
                <w:sz w:val="22"/>
                <w:szCs w:val="22"/>
                <w:lang w:val="uk"/>
              </w:rPr>
              <w:t xml:space="preserve"> населеного пункту (включаючи першу медичну допомогу, діагностику і лікування, доступ до медичних оглядів, вакцинації дітей тощо) </w:t>
            </w:r>
          </w:p>
        </w:tc>
        <w:tc>
          <w:tcPr>
            <w:tcW w:w="989" w:type="dxa"/>
          </w:tcPr>
          <w:p w14:paraId="494AC270" w14:textId="77777777" w:rsidR="00A7613F" w:rsidRDefault="004805B7" w:rsidP="00CB0430">
            <w:r>
              <w:rPr>
                <w:lang w:val="uk"/>
              </w:rPr>
              <w:t>В</w:t>
            </w:r>
          </w:p>
        </w:tc>
        <w:tc>
          <w:tcPr>
            <w:tcW w:w="1028" w:type="dxa"/>
          </w:tcPr>
          <w:p w14:paraId="541222E5" w14:textId="77777777" w:rsidR="00A7613F" w:rsidRDefault="00113CF6" w:rsidP="00CB0430">
            <w:r>
              <w:rPr>
                <w:lang w:val="uk"/>
              </w:rPr>
              <w:t>П (помірний)</w:t>
            </w:r>
          </w:p>
        </w:tc>
      </w:tr>
      <w:tr w:rsidR="009E0D30" w14:paraId="5CCC4E8E" w14:textId="77777777" w:rsidTr="00CB0430">
        <w:tc>
          <w:tcPr>
            <w:tcW w:w="3041" w:type="dxa"/>
          </w:tcPr>
          <w:p w14:paraId="4036C694" w14:textId="77777777" w:rsidR="00A7613F" w:rsidRPr="00AA7F94" w:rsidRDefault="004805B7" w:rsidP="00CB0430">
            <w:pPr>
              <w:rPr>
                <w:sz w:val="22"/>
                <w:szCs w:val="22"/>
              </w:rPr>
            </w:pPr>
            <w:r>
              <w:rPr>
                <w:sz w:val="22"/>
                <w:szCs w:val="22"/>
                <w:lang w:val="uk"/>
              </w:rPr>
              <w:t>Персонал місцевого медичного закладу</w:t>
            </w:r>
          </w:p>
        </w:tc>
        <w:tc>
          <w:tcPr>
            <w:tcW w:w="4392" w:type="dxa"/>
          </w:tcPr>
          <w:p w14:paraId="106CE37A" w14:textId="77777777" w:rsidR="00A7613F" w:rsidRPr="004805B7" w:rsidRDefault="004805B7" w:rsidP="00CB0430">
            <w:pPr>
              <w:rPr>
                <w:sz w:val="22"/>
                <w:szCs w:val="22"/>
                <w:lang w:val="ru-RU"/>
              </w:rPr>
            </w:pPr>
            <w:r w:rsidRPr="00AA7F94">
              <w:rPr>
                <w:sz w:val="22"/>
                <w:szCs w:val="22"/>
                <w:lang w:val="uk"/>
              </w:rPr>
              <w:t xml:space="preserve">Відновлення прийнятних умов праці / забезпечення доступності обладнання та ресурсів для надання медичних послуг </w:t>
            </w:r>
          </w:p>
        </w:tc>
        <w:tc>
          <w:tcPr>
            <w:tcW w:w="989" w:type="dxa"/>
          </w:tcPr>
          <w:p w14:paraId="3C5F6C47" w14:textId="77777777" w:rsidR="00A7613F" w:rsidRDefault="00113CF6" w:rsidP="00CB0430">
            <w:r>
              <w:rPr>
                <w:lang w:val="uk"/>
              </w:rPr>
              <w:t>З</w:t>
            </w:r>
          </w:p>
        </w:tc>
        <w:tc>
          <w:tcPr>
            <w:tcW w:w="1028" w:type="dxa"/>
          </w:tcPr>
          <w:p w14:paraId="33C9B909" w14:textId="77777777" w:rsidR="00A7613F" w:rsidRDefault="00113CF6" w:rsidP="00CB0430">
            <w:r>
              <w:rPr>
                <w:lang w:val="uk"/>
              </w:rPr>
              <w:t>З</w:t>
            </w:r>
          </w:p>
        </w:tc>
      </w:tr>
      <w:tr w:rsidR="009E0D30" w14:paraId="51E0A7B3" w14:textId="77777777" w:rsidTr="00CB0430">
        <w:tc>
          <w:tcPr>
            <w:tcW w:w="3041" w:type="dxa"/>
          </w:tcPr>
          <w:p w14:paraId="24EE97F2" w14:textId="77777777" w:rsidR="00A7613F" w:rsidRPr="00AA7F94" w:rsidRDefault="004805B7" w:rsidP="00CB0430">
            <w:pPr>
              <w:rPr>
                <w:sz w:val="22"/>
                <w:szCs w:val="22"/>
              </w:rPr>
            </w:pPr>
            <w:r w:rsidRPr="00AA7F94">
              <w:rPr>
                <w:sz w:val="22"/>
                <w:szCs w:val="22"/>
                <w:lang w:val="uk"/>
              </w:rPr>
              <w:t>Місцеві органи влади</w:t>
            </w:r>
          </w:p>
        </w:tc>
        <w:tc>
          <w:tcPr>
            <w:tcW w:w="4392" w:type="dxa"/>
          </w:tcPr>
          <w:p w14:paraId="7047EA24" w14:textId="77777777" w:rsidR="00A7613F" w:rsidRPr="004805B7" w:rsidRDefault="004805B7" w:rsidP="00CB0430">
            <w:pPr>
              <w:rPr>
                <w:sz w:val="22"/>
                <w:szCs w:val="22"/>
                <w:lang w:val="ru-RU"/>
              </w:rPr>
            </w:pPr>
            <w:r w:rsidRPr="00AA7F94">
              <w:rPr>
                <w:sz w:val="22"/>
                <w:szCs w:val="22"/>
                <w:lang w:val="uk"/>
              </w:rPr>
              <w:t>Відновлення та покращення громадської інфраструктури в населених пунктах</w:t>
            </w:r>
          </w:p>
        </w:tc>
        <w:tc>
          <w:tcPr>
            <w:tcW w:w="989" w:type="dxa"/>
          </w:tcPr>
          <w:p w14:paraId="11EE4F02" w14:textId="77777777" w:rsidR="00A7613F" w:rsidRDefault="004805B7" w:rsidP="00CB0430">
            <w:r>
              <w:rPr>
                <w:lang w:val="uk"/>
              </w:rPr>
              <w:t>В</w:t>
            </w:r>
          </w:p>
        </w:tc>
        <w:tc>
          <w:tcPr>
            <w:tcW w:w="1028" w:type="dxa"/>
          </w:tcPr>
          <w:p w14:paraId="7E59B0CD" w14:textId="77777777" w:rsidR="00A7613F" w:rsidRDefault="004805B7" w:rsidP="00CB0430">
            <w:r>
              <w:rPr>
                <w:lang w:val="uk"/>
              </w:rPr>
              <w:t>В</w:t>
            </w:r>
          </w:p>
        </w:tc>
      </w:tr>
      <w:tr w:rsidR="009E0D30" w14:paraId="18DD721F" w14:textId="77777777" w:rsidTr="00CB0430">
        <w:tc>
          <w:tcPr>
            <w:tcW w:w="3041" w:type="dxa"/>
          </w:tcPr>
          <w:p w14:paraId="328E685A" w14:textId="77777777" w:rsidR="00A7613F" w:rsidRPr="00AA7F94" w:rsidRDefault="004805B7" w:rsidP="00CB0430">
            <w:pPr>
              <w:rPr>
                <w:sz w:val="22"/>
                <w:szCs w:val="22"/>
              </w:rPr>
            </w:pPr>
            <w:r w:rsidRPr="00AA7F94">
              <w:rPr>
                <w:sz w:val="22"/>
                <w:szCs w:val="22"/>
                <w:lang w:val="uk"/>
              </w:rPr>
              <w:t>Місцеві постачальники комунальних послуг</w:t>
            </w:r>
          </w:p>
        </w:tc>
        <w:tc>
          <w:tcPr>
            <w:tcW w:w="4392" w:type="dxa"/>
          </w:tcPr>
          <w:p w14:paraId="1C4614DF" w14:textId="77777777" w:rsidR="00A7613F" w:rsidRPr="004805B7" w:rsidRDefault="004805B7" w:rsidP="00CB0430">
            <w:pPr>
              <w:rPr>
                <w:sz w:val="22"/>
                <w:szCs w:val="22"/>
                <w:lang w:val="ru-RU"/>
              </w:rPr>
            </w:pPr>
            <w:r w:rsidRPr="00AA7F94">
              <w:rPr>
                <w:sz w:val="22"/>
                <w:szCs w:val="22"/>
                <w:lang w:val="uk"/>
              </w:rPr>
              <w:t xml:space="preserve">Відновлення інженерних мереж до відремонтованих об'єктів ПМСД </w:t>
            </w:r>
          </w:p>
        </w:tc>
        <w:tc>
          <w:tcPr>
            <w:tcW w:w="989" w:type="dxa"/>
          </w:tcPr>
          <w:p w14:paraId="479B7020" w14:textId="77777777" w:rsidR="00A7613F" w:rsidRDefault="00113CF6" w:rsidP="00CB0430">
            <w:r>
              <w:rPr>
                <w:lang w:val="uk"/>
              </w:rPr>
              <w:t>П</w:t>
            </w:r>
          </w:p>
        </w:tc>
        <w:tc>
          <w:tcPr>
            <w:tcW w:w="1028" w:type="dxa"/>
          </w:tcPr>
          <w:p w14:paraId="31294F8C" w14:textId="77777777" w:rsidR="00A7613F" w:rsidRDefault="00113CF6" w:rsidP="00CB0430">
            <w:r>
              <w:rPr>
                <w:lang w:val="uk"/>
              </w:rPr>
              <w:t>П</w:t>
            </w:r>
          </w:p>
        </w:tc>
      </w:tr>
      <w:tr w:rsidR="009E0D30" w14:paraId="512B3D1C" w14:textId="77777777" w:rsidTr="00CB0430">
        <w:tc>
          <w:tcPr>
            <w:tcW w:w="3041" w:type="dxa"/>
          </w:tcPr>
          <w:p w14:paraId="026FD4F3" w14:textId="77777777" w:rsidR="00A7613F" w:rsidRPr="004805B7" w:rsidRDefault="004805B7" w:rsidP="00CB0430">
            <w:pPr>
              <w:rPr>
                <w:sz w:val="22"/>
                <w:szCs w:val="22"/>
                <w:lang w:val="ru-RU"/>
              </w:rPr>
            </w:pPr>
            <w:r w:rsidRPr="00AA7F94">
              <w:rPr>
                <w:sz w:val="22"/>
                <w:szCs w:val="22"/>
                <w:lang w:val="uk"/>
              </w:rPr>
              <w:t>Постачальники послуг невідкладної медичної допомоги</w:t>
            </w:r>
          </w:p>
        </w:tc>
        <w:tc>
          <w:tcPr>
            <w:tcW w:w="4392" w:type="dxa"/>
          </w:tcPr>
          <w:p w14:paraId="17491EE9" w14:textId="77777777" w:rsidR="00A7613F" w:rsidRPr="004805B7" w:rsidRDefault="004805B7" w:rsidP="00CB0430">
            <w:pPr>
              <w:rPr>
                <w:sz w:val="22"/>
                <w:szCs w:val="22"/>
                <w:lang w:val="ru-RU"/>
              </w:rPr>
            </w:pPr>
            <w:r>
              <w:rPr>
                <w:rFonts w:cs="Calibri"/>
                <w:color w:val="000000" w:themeColor="text1"/>
                <w:sz w:val="22"/>
                <w:szCs w:val="22"/>
                <w:lang w:val="uk"/>
              </w:rPr>
              <w:t>Організація медичної допомоги під час триваючої надзвичайної ситуації, пов'язаної з війною</w:t>
            </w:r>
          </w:p>
        </w:tc>
        <w:tc>
          <w:tcPr>
            <w:tcW w:w="989" w:type="dxa"/>
          </w:tcPr>
          <w:p w14:paraId="6B337FB3" w14:textId="77777777" w:rsidR="00A7613F" w:rsidRDefault="00113CF6" w:rsidP="00CB0430">
            <w:r>
              <w:rPr>
                <w:lang w:val="uk"/>
              </w:rPr>
              <w:t>П</w:t>
            </w:r>
          </w:p>
        </w:tc>
        <w:tc>
          <w:tcPr>
            <w:tcW w:w="1028" w:type="dxa"/>
          </w:tcPr>
          <w:p w14:paraId="31B6E991" w14:textId="77777777" w:rsidR="00A7613F" w:rsidRDefault="004805B7" w:rsidP="00CB0430">
            <w:r>
              <w:rPr>
                <w:lang w:val="uk"/>
              </w:rPr>
              <w:t>В</w:t>
            </w:r>
          </w:p>
        </w:tc>
      </w:tr>
      <w:tr w:rsidR="009E0D30" w:rsidRPr="00AE7326" w14:paraId="24EB0445" w14:textId="77777777" w:rsidTr="00CB0430">
        <w:tc>
          <w:tcPr>
            <w:tcW w:w="9450" w:type="dxa"/>
            <w:gridSpan w:val="4"/>
            <w:shd w:val="clear" w:color="auto" w:fill="D5DCE4" w:themeFill="text2" w:themeFillTint="33"/>
          </w:tcPr>
          <w:p w14:paraId="02D4486C" w14:textId="77777777" w:rsidR="00A7613F" w:rsidRPr="00AE7326" w:rsidRDefault="004805B7" w:rsidP="00AE7326">
            <w:pPr>
              <w:rPr>
                <w:rFonts w:cs="Calibri"/>
                <w:b/>
                <w:bCs/>
                <w:color w:val="000000" w:themeColor="text1"/>
                <w:sz w:val="22"/>
                <w:szCs w:val="22"/>
                <w:lang w:val="uk"/>
              </w:rPr>
            </w:pPr>
            <w:r w:rsidRPr="00AE7326">
              <w:rPr>
                <w:rFonts w:cs="Calibri"/>
                <w:b/>
                <w:bCs/>
                <w:color w:val="000000" w:themeColor="text1"/>
                <w:sz w:val="22"/>
                <w:szCs w:val="22"/>
                <w:lang w:val="uk"/>
              </w:rPr>
              <w:t>Компонент 3</w:t>
            </w:r>
            <w:r w:rsidR="00AE7326" w:rsidRPr="00AE7326">
              <w:rPr>
                <w:rFonts w:cs="Calibri"/>
                <w:b/>
                <w:bCs/>
                <w:color w:val="000000" w:themeColor="text1"/>
                <w:sz w:val="22"/>
                <w:szCs w:val="22"/>
                <w:lang w:val="uk"/>
              </w:rPr>
              <w:t>: Модернізація та підвищення ефективності стаціонарної медичної допомоги</w:t>
            </w:r>
            <w:r>
              <w:rPr>
                <w:rFonts w:cs="Calibri"/>
                <w:b/>
                <w:bCs/>
                <w:color w:val="000000" w:themeColor="text1"/>
                <w:sz w:val="22"/>
                <w:szCs w:val="22"/>
                <w:lang w:val="uk"/>
              </w:rPr>
              <w:t xml:space="preserve"> </w:t>
            </w:r>
          </w:p>
        </w:tc>
      </w:tr>
      <w:tr w:rsidR="009E0D30" w14:paraId="46B03BCB" w14:textId="77777777" w:rsidTr="00CB0430">
        <w:tc>
          <w:tcPr>
            <w:tcW w:w="3041" w:type="dxa"/>
          </w:tcPr>
          <w:p w14:paraId="670F84E9" w14:textId="77777777" w:rsidR="00A7613F" w:rsidRPr="004805B7" w:rsidRDefault="004805B7" w:rsidP="00CB0430">
            <w:pPr>
              <w:rPr>
                <w:sz w:val="22"/>
                <w:szCs w:val="22"/>
                <w:lang w:val="ru-RU"/>
              </w:rPr>
            </w:pPr>
            <w:r w:rsidRPr="00AA7F94">
              <w:rPr>
                <w:sz w:val="22"/>
                <w:szCs w:val="22"/>
                <w:lang w:val="uk"/>
              </w:rPr>
              <w:t>Населення в місцевих громадах, включаючи ВПО</w:t>
            </w:r>
          </w:p>
        </w:tc>
        <w:tc>
          <w:tcPr>
            <w:tcW w:w="4392" w:type="dxa"/>
          </w:tcPr>
          <w:p w14:paraId="596AD82D" w14:textId="77777777" w:rsidR="00A7613F" w:rsidRPr="004805B7" w:rsidRDefault="004805B7" w:rsidP="00CB0430">
            <w:pPr>
              <w:rPr>
                <w:sz w:val="22"/>
                <w:szCs w:val="22"/>
                <w:lang w:val="ru-RU"/>
              </w:rPr>
            </w:pPr>
            <w:r>
              <w:rPr>
                <w:sz w:val="22"/>
                <w:szCs w:val="22"/>
                <w:lang w:val="uk"/>
              </w:rPr>
              <w:t xml:space="preserve">Підвищення пропускної спроможності мереж медичних установ та якості надаваних медичних послуг </w:t>
            </w:r>
          </w:p>
        </w:tc>
        <w:tc>
          <w:tcPr>
            <w:tcW w:w="989" w:type="dxa"/>
          </w:tcPr>
          <w:p w14:paraId="72F42803" w14:textId="77777777" w:rsidR="00A7613F" w:rsidRDefault="004805B7" w:rsidP="00CB0430">
            <w:r>
              <w:rPr>
                <w:lang w:val="uk"/>
              </w:rPr>
              <w:t>В</w:t>
            </w:r>
          </w:p>
        </w:tc>
        <w:tc>
          <w:tcPr>
            <w:tcW w:w="1028" w:type="dxa"/>
          </w:tcPr>
          <w:p w14:paraId="1BAFE9FC" w14:textId="77777777" w:rsidR="00A7613F" w:rsidRDefault="004805B7" w:rsidP="00CB0430">
            <w:r>
              <w:rPr>
                <w:lang w:val="uk"/>
              </w:rPr>
              <w:t>В</w:t>
            </w:r>
          </w:p>
        </w:tc>
      </w:tr>
      <w:tr w:rsidR="009E0D30" w14:paraId="0CB388C9" w14:textId="77777777" w:rsidTr="00CB0430">
        <w:tc>
          <w:tcPr>
            <w:tcW w:w="3041" w:type="dxa"/>
          </w:tcPr>
          <w:p w14:paraId="71F2AD04" w14:textId="77777777" w:rsidR="00A7613F" w:rsidRPr="00AA7F94" w:rsidRDefault="004805B7" w:rsidP="00CB0430">
            <w:pPr>
              <w:rPr>
                <w:sz w:val="22"/>
                <w:szCs w:val="22"/>
              </w:rPr>
            </w:pPr>
            <w:r w:rsidRPr="00AA7F94">
              <w:rPr>
                <w:sz w:val="22"/>
                <w:szCs w:val="22"/>
                <w:lang w:val="uk"/>
              </w:rPr>
              <w:t>Персонал медичного закладу</w:t>
            </w:r>
          </w:p>
        </w:tc>
        <w:tc>
          <w:tcPr>
            <w:tcW w:w="4392" w:type="dxa"/>
          </w:tcPr>
          <w:p w14:paraId="05E45D3B" w14:textId="77777777" w:rsidR="00A7613F" w:rsidRPr="004805B7" w:rsidRDefault="004805B7" w:rsidP="00CB0430">
            <w:pPr>
              <w:rPr>
                <w:sz w:val="22"/>
                <w:szCs w:val="22"/>
                <w:lang w:val="ru-RU"/>
              </w:rPr>
            </w:pPr>
            <w:r w:rsidRPr="00AA7F94">
              <w:rPr>
                <w:sz w:val="22"/>
                <w:szCs w:val="22"/>
                <w:lang w:val="uk"/>
              </w:rPr>
              <w:t xml:space="preserve">Відновлення прийнятних умов праці / забезпечення доступності обладнання та ресурсів для надання медичних послуг </w:t>
            </w:r>
          </w:p>
        </w:tc>
        <w:tc>
          <w:tcPr>
            <w:tcW w:w="989" w:type="dxa"/>
          </w:tcPr>
          <w:p w14:paraId="24D94DC4" w14:textId="77777777" w:rsidR="00A7613F" w:rsidRDefault="004805B7" w:rsidP="00CB0430">
            <w:r>
              <w:rPr>
                <w:lang w:val="uk"/>
              </w:rPr>
              <w:t>В</w:t>
            </w:r>
          </w:p>
        </w:tc>
        <w:tc>
          <w:tcPr>
            <w:tcW w:w="1028" w:type="dxa"/>
          </w:tcPr>
          <w:p w14:paraId="3F892DEC" w14:textId="77777777" w:rsidR="00A7613F" w:rsidRDefault="004805B7" w:rsidP="00CB0430">
            <w:r>
              <w:rPr>
                <w:lang w:val="uk"/>
              </w:rPr>
              <w:t>В</w:t>
            </w:r>
          </w:p>
        </w:tc>
      </w:tr>
      <w:tr w:rsidR="009E0D30" w14:paraId="2B2392D4" w14:textId="77777777" w:rsidTr="00CB0430">
        <w:tc>
          <w:tcPr>
            <w:tcW w:w="3041" w:type="dxa"/>
          </w:tcPr>
          <w:p w14:paraId="5E933686" w14:textId="77777777" w:rsidR="00A7613F" w:rsidRPr="00AA7F94" w:rsidRDefault="004805B7" w:rsidP="00CB0430">
            <w:pPr>
              <w:rPr>
                <w:sz w:val="22"/>
                <w:szCs w:val="22"/>
              </w:rPr>
            </w:pPr>
            <w:r w:rsidRPr="00AA7F94">
              <w:rPr>
                <w:sz w:val="22"/>
                <w:szCs w:val="22"/>
                <w:lang w:val="uk"/>
              </w:rPr>
              <w:lastRenderedPageBreak/>
              <w:t>Місцеві органи влади</w:t>
            </w:r>
          </w:p>
        </w:tc>
        <w:tc>
          <w:tcPr>
            <w:tcW w:w="4392" w:type="dxa"/>
          </w:tcPr>
          <w:p w14:paraId="509F92AA" w14:textId="77777777" w:rsidR="00A7613F" w:rsidRPr="004805B7" w:rsidRDefault="004805B7" w:rsidP="00CB0430">
            <w:pPr>
              <w:rPr>
                <w:sz w:val="22"/>
                <w:szCs w:val="22"/>
                <w:lang w:val="ru-RU"/>
              </w:rPr>
            </w:pPr>
            <w:r>
              <w:rPr>
                <w:sz w:val="22"/>
                <w:szCs w:val="22"/>
                <w:lang w:val="uk"/>
              </w:rPr>
              <w:t>Підвищення якості медичних послуг та громадської інфраструктури в населених пунктах</w:t>
            </w:r>
          </w:p>
        </w:tc>
        <w:tc>
          <w:tcPr>
            <w:tcW w:w="989" w:type="dxa"/>
          </w:tcPr>
          <w:p w14:paraId="14CA5163" w14:textId="77777777" w:rsidR="00A7613F" w:rsidRDefault="004805B7" w:rsidP="00CB0430">
            <w:r>
              <w:rPr>
                <w:lang w:val="uk"/>
              </w:rPr>
              <w:t>В</w:t>
            </w:r>
          </w:p>
        </w:tc>
        <w:tc>
          <w:tcPr>
            <w:tcW w:w="1028" w:type="dxa"/>
          </w:tcPr>
          <w:p w14:paraId="30A0FD56" w14:textId="77777777" w:rsidR="00A7613F" w:rsidRDefault="004805B7" w:rsidP="00CB0430">
            <w:r>
              <w:rPr>
                <w:lang w:val="uk"/>
              </w:rPr>
              <w:t>В</w:t>
            </w:r>
          </w:p>
        </w:tc>
      </w:tr>
      <w:tr w:rsidR="009E0D30" w14:paraId="246A2677" w14:textId="77777777" w:rsidTr="00CB0430">
        <w:tc>
          <w:tcPr>
            <w:tcW w:w="9450" w:type="dxa"/>
            <w:gridSpan w:val="4"/>
            <w:shd w:val="clear" w:color="auto" w:fill="D5DCE4" w:themeFill="text2" w:themeFillTint="33"/>
          </w:tcPr>
          <w:p w14:paraId="0EC4868A" w14:textId="77777777" w:rsidR="00A7613F" w:rsidRPr="004D33BA" w:rsidRDefault="00AE7326" w:rsidP="00CB0430">
            <w:pPr>
              <w:rPr>
                <w:sz w:val="22"/>
                <w:szCs w:val="22"/>
              </w:rPr>
            </w:pPr>
            <w:r>
              <w:rPr>
                <w:rFonts w:cs="Calibri"/>
                <w:b/>
                <w:bCs/>
                <w:color w:val="000000" w:themeColor="text1"/>
                <w:sz w:val="22"/>
                <w:szCs w:val="22"/>
                <w:lang w:val="uk"/>
              </w:rPr>
              <w:t>Компонент 4:</w:t>
            </w:r>
            <w:r w:rsidRPr="00AE7326">
              <w:rPr>
                <w:rFonts w:cs="Calibri"/>
                <w:b/>
                <w:bCs/>
                <w:color w:val="000000" w:themeColor="text1"/>
                <w:sz w:val="22"/>
                <w:szCs w:val="22"/>
                <w:lang w:val="uk"/>
              </w:rPr>
              <w:t xml:space="preserve"> Підтримка нарощування потенціалу, </w:t>
            </w:r>
            <w:proofErr w:type="spellStart"/>
            <w:r w:rsidRPr="00AE7326">
              <w:rPr>
                <w:rFonts w:cs="Calibri"/>
                <w:b/>
                <w:bCs/>
                <w:color w:val="000000" w:themeColor="text1"/>
                <w:sz w:val="22"/>
                <w:szCs w:val="22"/>
                <w:lang w:val="uk"/>
              </w:rPr>
              <w:t>цифровізації</w:t>
            </w:r>
            <w:proofErr w:type="spellEnd"/>
            <w:r w:rsidRPr="00AE7326">
              <w:rPr>
                <w:rFonts w:cs="Calibri"/>
                <w:b/>
                <w:bCs/>
                <w:color w:val="000000" w:themeColor="text1"/>
                <w:sz w:val="22"/>
                <w:szCs w:val="22"/>
                <w:lang w:val="uk"/>
              </w:rPr>
              <w:t xml:space="preserve"> та інновацій</w:t>
            </w:r>
          </w:p>
        </w:tc>
      </w:tr>
      <w:tr w:rsidR="009E0D30" w14:paraId="70E0AEE3" w14:textId="77777777" w:rsidTr="00CB0430">
        <w:tc>
          <w:tcPr>
            <w:tcW w:w="3041" w:type="dxa"/>
          </w:tcPr>
          <w:p w14:paraId="17525DE7" w14:textId="77777777" w:rsidR="00A7613F" w:rsidRPr="004D33BA" w:rsidRDefault="004805B7" w:rsidP="00CB0430">
            <w:pPr>
              <w:rPr>
                <w:sz w:val="22"/>
                <w:szCs w:val="22"/>
              </w:rPr>
            </w:pPr>
            <w:r w:rsidRPr="004D33BA">
              <w:rPr>
                <w:sz w:val="22"/>
                <w:szCs w:val="22"/>
                <w:lang w:val="uk"/>
              </w:rPr>
              <w:t>Громадскість</w:t>
            </w:r>
          </w:p>
        </w:tc>
        <w:tc>
          <w:tcPr>
            <w:tcW w:w="4392" w:type="dxa"/>
          </w:tcPr>
          <w:p w14:paraId="4DE92303" w14:textId="77777777" w:rsidR="00A7613F" w:rsidRPr="004805B7" w:rsidRDefault="004805B7" w:rsidP="00CB0430">
            <w:pPr>
              <w:rPr>
                <w:sz w:val="22"/>
                <w:szCs w:val="22"/>
                <w:lang w:val="ru-RU"/>
              </w:rPr>
            </w:pPr>
            <w:r w:rsidRPr="004D33BA">
              <w:rPr>
                <w:sz w:val="22"/>
                <w:szCs w:val="22"/>
                <w:lang w:val="uk"/>
              </w:rPr>
              <w:t>Поліпшення доступу до медичних послуг за рахунок впровадження цифрового підходу, оптимізації системи зворотного зв'язку</w:t>
            </w:r>
          </w:p>
        </w:tc>
        <w:tc>
          <w:tcPr>
            <w:tcW w:w="989" w:type="dxa"/>
          </w:tcPr>
          <w:p w14:paraId="03F0F77F" w14:textId="77777777" w:rsidR="00A7613F" w:rsidRPr="004D33BA" w:rsidRDefault="004805B7" w:rsidP="00CB0430">
            <w:pPr>
              <w:rPr>
                <w:sz w:val="22"/>
                <w:szCs w:val="22"/>
              </w:rPr>
            </w:pPr>
            <w:r>
              <w:rPr>
                <w:sz w:val="22"/>
                <w:szCs w:val="22"/>
                <w:lang w:val="uk"/>
              </w:rPr>
              <w:t>В</w:t>
            </w:r>
          </w:p>
        </w:tc>
        <w:tc>
          <w:tcPr>
            <w:tcW w:w="1028" w:type="dxa"/>
          </w:tcPr>
          <w:p w14:paraId="4E53689A" w14:textId="77777777" w:rsidR="00A7613F" w:rsidRPr="004D33BA" w:rsidRDefault="004805B7" w:rsidP="00CB0430">
            <w:pPr>
              <w:rPr>
                <w:sz w:val="22"/>
                <w:szCs w:val="22"/>
              </w:rPr>
            </w:pPr>
            <w:r>
              <w:rPr>
                <w:sz w:val="22"/>
                <w:szCs w:val="22"/>
                <w:lang w:val="uk"/>
              </w:rPr>
              <w:t>Н</w:t>
            </w:r>
            <w:r w:rsidR="00AE7326">
              <w:rPr>
                <w:sz w:val="22"/>
                <w:szCs w:val="22"/>
                <w:lang w:val="uk"/>
              </w:rPr>
              <w:t xml:space="preserve"> (низький)</w:t>
            </w:r>
          </w:p>
        </w:tc>
      </w:tr>
      <w:tr w:rsidR="009E0D30" w14:paraId="49219EE6" w14:textId="77777777" w:rsidTr="00CB0430">
        <w:tc>
          <w:tcPr>
            <w:tcW w:w="9450" w:type="dxa"/>
            <w:gridSpan w:val="4"/>
            <w:shd w:val="clear" w:color="auto" w:fill="D5DCE4" w:themeFill="text2" w:themeFillTint="33"/>
          </w:tcPr>
          <w:p w14:paraId="76A23D96" w14:textId="77777777" w:rsidR="00A7613F" w:rsidRPr="004D33BA" w:rsidRDefault="004805B7" w:rsidP="00CB0430">
            <w:pPr>
              <w:rPr>
                <w:sz w:val="22"/>
                <w:szCs w:val="22"/>
              </w:rPr>
            </w:pPr>
            <w:r w:rsidRPr="004D33BA">
              <w:rPr>
                <w:b/>
                <w:sz w:val="22"/>
                <w:szCs w:val="22"/>
                <w:lang w:val="uk"/>
              </w:rPr>
              <w:t>Інші зацікавлені сторони</w:t>
            </w:r>
          </w:p>
        </w:tc>
      </w:tr>
      <w:tr w:rsidR="009E0D30" w14:paraId="27C35627" w14:textId="77777777" w:rsidTr="00CB0430">
        <w:tc>
          <w:tcPr>
            <w:tcW w:w="3041" w:type="dxa"/>
          </w:tcPr>
          <w:p w14:paraId="29D9BDB0" w14:textId="77777777" w:rsidR="00A7613F" w:rsidRPr="004D33BA" w:rsidRDefault="004805B7" w:rsidP="00CB0430">
            <w:pPr>
              <w:rPr>
                <w:sz w:val="22"/>
                <w:szCs w:val="22"/>
              </w:rPr>
            </w:pPr>
            <w:r w:rsidRPr="004D33BA">
              <w:rPr>
                <w:sz w:val="22"/>
                <w:szCs w:val="22"/>
                <w:lang w:val="uk"/>
              </w:rPr>
              <w:t>Кабінет Міністрів України,</w:t>
            </w:r>
            <w:r w:rsidR="00AE7326">
              <w:rPr>
                <w:sz w:val="22"/>
                <w:szCs w:val="22"/>
                <w:lang w:val="uk"/>
              </w:rPr>
              <w:t xml:space="preserve"> Міністерство фінансів України</w:t>
            </w:r>
          </w:p>
        </w:tc>
        <w:tc>
          <w:tcPr>
            <w:tcW w:w="4392" w:type="dxa"/>
          </w:tcPr>
          <w:p w14:paraId="214EE481" w14:textId="77777777" w:rsidR="00A7613F" w:rsidRPr="004805B7" w:rsidRDefault="004805B7" w:rsidP="00CB0430">
            <w:pPr>
              <w:rPr>
                <w:sz w:val="22"/>
                <w:szCs w:val="22"/>
                <w:lang w:val="ru-RU"/>
              </w:rPr>
            </w:pPr>
            <w:r w:rsidRPr="004D33BA">
              <w:rPr>
                <w:sz w:val="22"/>
                <w:szCs w:val="22"/>
                <w:lang w:val="uk"/>
              </w:rPr>
              <w:t>Директивні органи та нагляд за широкою мережею державних установ</w:t>
            </w:r>
          </w:p>
        </w:tc>
        <w:tc>
          <w:tcPr>
            <w:tcW w:w="989" w:type="dxa"/>
          </w:tcPr>
          <w:p w14:paraId="6AA0DAFD" w14:textId="77777777" w:rsidR="00A7613F" w:rsidRPr="004D33BA" w:rsidRDefault="004805B7" w:rsidP="00CB0430">
            <w:pPr>
              <w:rPr>
                <w:sz w:val="22"/>
                <w:szCs w:val="22"/>
              </w:rPr>
            </w:pPr>
            <w:r>
              <w:rPr>
                <w:sz w:val="22"/>
                <w:szCs w:val="22"/>
                <w:lang w:val="uk"/>
              </w:rPr>
              <w:t>В</w:t>
            </w:r>
          </w:p>
        </w:tc>
        <w:tc>
          <w:tcPr>
            <w:tcW w:w="1028" w:type="dxa"/>
          </w:tcPr>
          <w:p w14:paraId="37FE099B" w14:textId="77777777" w:rsidR="00A7613F" w:rsidRPr="004D33BA" w:rsidRDefault="004805B7" w:rsidP="00CB0430">
            <w:pPr>
              <w:rPr>
                <w:sz w:val="22"/>
                <w:szCs w:val="22"/>
              </w:rPr>
            </w:pPr>
            <w:r>
              <w:rPr>
                <w:sz w:val="22"/>
                <w:szCs w:val="22"/>
                <w:lang w:val="uk"/>
              </w:rPr>
              <w:t>В</w:t>
            </w:r>
          </w:p>
        </w:tc>
      </w:tr>
      <w:tr w:rsidR="009E0D30" w14:paraId="15E829BE" w14:textId="77777777" w:rsidTr="00CB0430">
        <w:tc>
          <w:tcPr>
            <w:tcW w:w="3041" w:type="dxa"/>
          </w:tcPr>
          <w:p w14:paraId="0BCCDDA7" w14:textId="77777777" w:rsidR="00A7613F" w:rsidRPr="004805B7" w:rsidRDefault="004805B7" w:rsidP="00CB0430">
            <w:pPr>
              <w:rPr>
                <w:sz w:val="22"/>
                <w:szCs w:val="22"/>
                <w:lang w:val="ru-RU"/>
              </w:rPr>
            </w:pPr>
            <w:r w:rsidRPr="004D33BA">
              <w:rPr>
                <w:sz w:val="22"/>
                <w:szCs w:val="22"/>
                <w:lang w:val="uk"/>
              </w:rPr>
              <w:t>Міністерство охорони здоров'я України;</w:t>
            </w:r>
          </w:p>
          <w:p w14:paraId="4D600E15" w14:textId="77777777" w:rsidR="00A7613F" w:rsidRPr="004805B7" w:rsidRDefault="004805B7" w:rsidP="00CB0430">
            <w:pPr>
              <w:rPr>
                <w:sz w:val="22"/>
                <w:szCs w:val="22"/>
                <w:lang w:val="ru-RU"/>
              </w:rPr>
            </w:pPr>
            <w:r w:rsidRPr="004D33BA">
              <w:rPr>
                <w:sz w:val="22"/>
                <w:szCs w:val="22"/>
                <w:lang w:val="uk"/>
              </w:rPr>
              <w:t>управління охорони здоров'я обласних та міських адміністрацій; заклади охорони здоров'я</w:t>
            </w:r>
          </w:p>
          <w:p w14:paraId="7909213A" w14:textId="77777777" w:rsidR="00A7613F" w:rsidRPr="004805B7" w:rsidRDefault="00A7613F" w:rsidP="00CB0430">
            <w:pPr>
              <w:rPr>
                <w:sz w:val="22"/>
                <w:szCs w:val="22"/>
                <w:lang w:val="ru-RU"/>
              </w:rPr>
            </w:pPr>
          </w:p>
          <w:p w14:paraId="6E4CB9F5" w14:textId="77777777" w:rsidR="00A7613F" w:rsidRPr="004805B7" w:rsidRDefault="004805B7" w:rsidP="00CB0430">
            <w:pPr>
              <w:rPr>
                <w:sz w:val="22"/>
                <w:szCs w:val="22"/>
                <w:lang w:val="ru-RU"/>
              </w:rPr>
            </w:pPr>
            <w:r w:rsidRPr="004D33BA">
              <w:rPr>
                <w:sz w:val="22"/>
                <w:szCs w:val="22"/>
                <w:lang w:val="uk"/>
              </w:rPr>
              <w:t>ГРП</w:t>
            </w:r>
          </w:p>
          <w:p w14:paraId="1086F101" w14:textId="77777777" w:rsidR="00A7613F" w:rsidRPr="004805B7" w:rsidRDefault="00A7613F" w:rsidP="00CB0430">
            <w:pPr>
              <w:rPr>
                <w:sz w:val="22"/>
                <w:szCs w:val="22"/>
                <w:lang w:val="ru-RU"/>
              </w:rPr>
            </w:pPr>
          </w:p>
          <w:p w14:paraId="23D876BA" w14:textId="77777777" w:rsidR="00A7613F" w:rsidRPr="004805B7" w:rsidRDefault="004805B7" w:rsidP="00CB0430">
            <w:pPr>
              <w:rPr>
                <w:sz w:val="22"/>
                <w:szCs w:val="22"/>
                <w:lang w:val="ru-RU"/>
              </w:rPr>
            </w:pPr>
            <w:r w:rsidRPr="004D33BA">
              <w:rPr>
                <w:sz w:val="22"/>
                <w:szCs w:val="22"/>
                <w:lang w:val="uk"/>
              </w:rPr>
              <w:t>Центр громадського здоров'я</w:t>
            </w:r>
          </w:p>
          <w:p w14:paraId="424F7C5C" w14:textId="77777777" w:rsidR="00A7613F" w:rsidRPr="004805B7" w:rsidRDefault="00A7613F" w:rsidP="00CB0430">
            <w:pPr>
              <w:rPr>
                <w:sz w:val="22"/>
                <w:szCs w:val="22"/>
                <w:lang w:val="ru-RU"/>
              </w:rPr>
            </w:pPr>
          </w:p>
          <w:p w14:paraId="7E62B780" w14:textId="77777777" w:rsidR="00A7613F" w:rsidRPr="004805B7" w:rsidRDefault="004805B7" w:rsidP="00CB0430">
            <w:pPr>
              <w:rPr>
                <w:sz w:val="22"/>
                <w:szCs w:val="22"/>
                <w:lang w:val="ru-RU"/>
              </w:rPr>
            </w:pPr>
            <w:r w:rsidRPr="004D33BA">
              <w:rPr>
                <w:sz w:val="22"/>
                <w:szCs w:val="22"/>
                <w:lang w:val="uk"/>
              </w:rPr>
              <w:t>Національна служба здоров'я України</w:t>
            </w:r>
          </w:p>
          <w:p w14:paraId="2C26A0CA" w14:textId="77777777" w:rsidR="00A7613F" w:rsidRPr="004805B7" w:rsidRDefault="00A7613F" w:rsidP="00CB0430">
            <w:pPr>
              <w:rPr>
                <w:sz w:val="24"/>
                <w:szCs w:val="24"/>
                <w:lang w:val="ru-RU"/>
              </w:rPr>
            </w:pPr>
          </w:p>
        </w:tc>
        <w:tc>
          <w:tcPr>
            <w:tcW w:w="4392" w:type="dxa"/>
          </w:tcPr>
          <w:p w14:paraId="60F31F73" w14:textId="77777777" w:rsidR="00A7613F" w:rsidRPr="004805B7" w:rsidRDefault="004805B7" w:rsidP="00CB0430">
            <w:pPr>
              <w:rPr>
                <w:sz w:val="24"/>
                <w:szCs w:val="24"/>
                <w:lang w:val="ru-RU"/>
              </w:rPr>
            </w:pPr>
            <w:r w:rsidRPr="004D33BA">
              <w:rPr>
                <w:sz w:val="22"/>
                <w:szCs w:val="22"/>
                <w:lang w:val="uk"/>
              </w:rPr>
              <w:t>Організація-виконавець та координаційна група</w:t>
            </w:r>
          </w:p>
        </w:tc>
        <w:tc>
          <w:tcPr>
            <w:tcW w:w="989" w:type="dxa"/>
          </w:tcPr>
          <w:p w14:paraId="6A0A7636" w14:textId="77777777" w:rsidR="00A7613F" w:rsidRDefault="004805B7" w:rsidP="00CB0430">
            <w:r>
              <w:rPr>
                <w:lang w:val="uk"/>
              </w:rPr>
              <w:t>В</w:t>
            </w:r>
          </w:p>
        </w:tc>
        <w:tc>
          <w:tcPr>
            <w:tcW w:w="1028" w:type="dxa"/>
          </w:tcPr>
          <w:p w14:paraId="2E65E3FD" w14:textId="77777777" w:rsidR="00A7613F" w:rsidRDefault="004805B7" w:rsidP="00CB0430">
            <w:r>
              <w:rPr>
                <w:lang w:val="uk"/>
              </w:rPr>
              <w:t>В</w:t>
            </w:r>
          </w:p>
        </w:tc>
      </w:tr>
      <w:tr w:rsidR="009E0D30" w14:paraId="6137E99C" w14:textId="77777777" w:rsidTr="00CB0430">
        <w:tc>
          <w:tcPr>
            <w:tcW w:w="3041" w:type="dxa"/>
          </w:tcPr>
          <w:p w14:paraId="069626C8" w14:textId="77777777" w:rsidR="00A7613F" w:rsidRPr="0059538D" w:rsidRDefault="004805B7" w:rsidP="00CB0430">
            <w:pPr>
              <w:rPr>
                <w:sz w:val="22"/>
                <w:szCs w:val="22"/>
              </w:rPr>
            </w:pPr>
            <w:r w:rsidRPr="0059538D">
              <w:rPr>
                <w:sz w:val="22"/>
                <w:szCs w:val="22"/>
                <w:lang w:val="uk"/>
              </w:rPr>
              <w:t>Неурядові та місцеві громадські організації</w:t>
            </w:r>
          </w:p>
          <w:p w14:paraId="495A8871" w14:textId="77777777" w:rsidR="00A7613F" w:rsidRPr="0059538D" w:rsidRDefault="00A7613F" w:rsidP="00CB0430">
            <w:pPr>
              <w:rPr>
                <w:sz w:val="22"/>
                <w:szCs w:val="22"/>
              </w:rPr>
            </w:pPr>
          </w:p>
          <w:p w14:paraId="31314353" w14:textId="77777777" w:rsidR="00A7613F" w:rsidRDefault="004805B7" w:rsidP="00CB0430">
            <w:r w:rsidRPr="0059538D">
              <w:rPr>
                <w:sz w:val="22"/>
                <w:szCs w:val="22"/>
                <w:lang w:val="uk"/>
              </w:rPr>
              <w:t>Національні та місцеві засоби масової інформації</w:t>
            </w:r>
          </w:p>
        </w:tc>
        <w:tc>
          <w:tcPr>
            <w:tcW w:w="4392" w:type="dxa"/>
          </w:tcPr>
          <w:p w14:paraId="49F08CAF" w14:textId="77777777" w:rsidR="00A7613F" w:rsidRDefault="004805B7" w:rsidP="00CB0430">
            <w:r w:rsidRPr="0059538D">
              <w:rPr>
                <w:sz w:val="22"/>
                <w:szCs w:val="22"/>
                <w:lang w:val="uk"/>
              </w:rPr>
              <w:t xml:space="preserve">Зацікавленість у тому, щоб виконання проєкту спрямовувалося на досягнення відповідних цілей у прозорий спосіб в обставинах надзвичайної ситуації. Поширення інформації про діяльність </w:t>
            </w:r>
            <w:r>
              <w:rPr>
                <w:sz w:val="22"/>
                <w:szCs w:val="22"/>
                <w:lang w:val="uk"/>
              </w:rPr>
              <w:t>проєкт</w:t>
            </w:r>
            <w:r w:rsidRPr="0059538D">
              <w:rPr>
                <w:sz w:val="22"/>
                <w:szCs w:val="22"/>
                <w:lang w:val="uk"/>
              </w:rPr>
              <w:t xml:space="preserve">у. </w:t>
            </w:r>
          </w:p>
        </w:tc>
        <w:tc>
          <w:tcPr>
            <w:tcW w:w="989" w:type="dxa"/>
          </w:tcPr>
          <w:p w14:paraId="2C5204FE" w14:textId="77777777" w:rsidR="00A7613F" w:rsidRDefault="00113CF6" w:rsidP="00CB0430">
            <w:r>
              <w:rPr>
                <w:lang w:val="uk"/>
              </w:rPr>
              <w:t>П</w:t>
            </w:r>
          </w:p>
        </w:tc>
        <w:tc>
          <w:tcPr>
            <w:tcW w:w="1028" w:type="dxa"/>
          </w:tcPr>
          <w:p w14:paraId="619661EF" w14:textId="77777777" w:rsidR="00A7613F" w:rsidRDefault="004805B7" w:rsidP="00CB0430">
            <w:r>
              <w:rPr>
                <w:lang w:val="uk"/>
              </w:rPr>
              <w:t>В</w:t>
            </w:r>
          </w:p>
        </w:tc>
      </w:tr>
      <w:tr w:rsidR="009E0D30" w14:paraId="4DBEB482" w14:textId="77777777" w:rsidTr="00CB0430">
        <w:tc>
          <w:tcPr>
            <w:tcW w:w="9450" w:type="dxa"/>
            <w:gridSpan w:val="4"/>
            <w:shd w:val="clear" w:color="auto" w:fill="D5DCE4" w:themeFill="text2" w:themeFillTint="33"/>
          </w:tcPr>
          <w:p w14:paraId="3909F311" w14:textId="77777777" w:rsidR="00A7613F" w:rsidRDefault="004805B7" w:rsidP="00CB0430">
            <w:r w:rsidRPr="00CB0430">
              <w:rPr>
                <w:b/>
                <w:sz w:val="22"/>
                <w:szCs w:val="22"/>
                <w:lang w:val="uk"/>
              </w:rPr>
              <w:t xml:space="preserve">Вразливі групи </w:t>
            </w:r>
          </w:p>
        </w:tc>
      </w:tr>
      <w:tr w:rsidR="009E0D30" w14:paraId="429B345A" w14:textId="77777777" w:rsidTr="00C04150">
        <w:tc>
          <w:tcPr>
            <w:tcW w:w="3041" w:type="dxa"/>
          </w:tcPr>
          <w:p w14:paraId="281FB732" w14:textId="77777777" w:rsidR="00A7613F" w:rsidRPr="0059538D" w:rsidRDefault="004805B7" w:rsidP="00C04150">
            <w:pPr>
              <w:rPr>
                <w:sz w:val="22"/>
                <w:szCs w:val="22"/>
              </w:rPr>
            </w:pPr>
            <w:r>
              <w:rPr>
                <w:sz w:val="22"/>
                <w:lang w:val="uk"/>
              </w:rPr>
              <w:t>Особи, які можуть зазнати непропорційного впливу проєкту(-</w:t>
            </w:r>
            <w:proofErr w:type="spellStart"/>
            <w:r>
              <w:rPr>
                <w:sz w:val="22"/>
                <w:lang w:val="uk"/>
              </w:rPr>
              <w:t>ів</w:t>
            </w:r>
            <w:proofErr w:type="spellEnd"/>
            <w:r>
              <w:rPr>
                <w:sz w:val="22"/>
                <w:lang w:val="uk"/>
              </w:rPr>
              <w:t>) або опинитися в ще більш несприятливому становищі через проєкт(-и) порівняно з будь-якими іншими групами через їхній вразливий статус (зокрема, жінки, молодь, люди похилого віку, включаючи різні етнічні групи).</w:t>
            </w:r>
          </w:p>
        </w:tc>
        <w:tc>
          <w:tcPr>
            <w:tcW w:w="4392" w:type="dxa"/>
          </w:tcPr>
          <w:p w14:paraId="63C3B614" w14:textId="77777777" w:rsidR="00A7613F" w:rsidRPr="004805B7" w:rsidRDefault="00A959D9" w:rsidP="00CB0430">
            <w:pPr>
              <w:rPr>
                <w:sz w:val="22"/>
                <w:szCs w:val="22"/>
                <w:lang w:val="uk"/>
              </w:rPr>
            </w:pPr>
            <w:r>
              <w:rPr>
                <w:sz w:val="22"/>
                <w:szCs w:val="22"/>
                <w:lang w:val="uk-UA"/>
              </w:rPr>
              <w:t>Потребують</w:t>
            </w:r>
            <w:r>
              <w:rPr>
                <w:sz w:val="22"/>
                <w:szCs w:val="22"/>
                <w:lang w:val="uk"/>
              </w:rPr>
              <w:t xml:space="preserve"> особливих зусиль щодо залучення</w:t>
            </w:r>
            <w:r w:rsidR="004805B7">
              <w:rPr>
                <w:sz w:val="22"/>
                <w:szCs w:val="22"/>
                <w:lang w:val="uk"/>
              </w:rPr>
              <w:t xml:space="preserve"> для забезпечення їхнього рівного представництва в процесі консультацій і прийняття рішень, пов'язаних з проєктом. Інформація про </w:t>
            </w:r>
            <w:proofErr w:type="spellStart"/>
            <w:r w:rsidR="004805B7">
              <w:rPr>
                <w:sz w:val="22"/>
                <w:szCs w:val="22"/>
                <w:lang w:val="uk"/>
              </w:rPr>
              <w:t>проєкт</w:t>
            </w:r>
            <w:proofErr w:type="spellEnd"/>
            <w:r>
              <w:rPr>
                <w:sz w:val="22"/>
                <w:szCs w:val="22"/>
                <w:lang w:val="uk"/>
              </w:rPr>
              <w:t xml:space="preserve"> повинна бути розкрита відповідними місцевими мовами й у доступний та відповідний</w:t>
            </w:r>
            <w:r w:rsidR="004805B7">
              <w:rPr>
                <w:sz w:val="22"/>
                <w:szCs w:val="22"/>
                <w:lang w:val="uk"/>
              </w:rPr>
              <w:t xml:space="preserve"> к</w:t>
            </w:r>
            <w:r>
              <w:rPr>
                <w:sz w:val="22"/>
                <w:szCs w:val="22"/>
                <w:lang w:val="uk"/>
              </w:rPr>
              <w:t>ультурі спосіб</w:t>
            </w:r>
            <w:r w:rsidR="004805B7">
              <w:rPr>
                <w:sz w:val="22"/>
                <w:szCs w:val="22"/>
                <w:lang w:val="uk"/>
              </w:rPr>
              <w:t xml:space="preserve">, беручи до уваги конкретні потреби груп, на які проєкт може мати різний або непропорційний вплив, або груп населення з особливими інформаційними потребами (як-от інвалідність, грамотність, </w:t>
            </w:r>
            <w:r w:rsidR="004805B7">
              <w:rPr>
                <w:sz w:val="22"/>
                <w:szCs w:val="22"/>
                <w:lang w:val="uk"/>
              </w:rPr>
              <w:lastRenderedPageBreak/>
              <w:t>стать, мобільність, відмінності в мові або доступності).</w:t>
            </w:r>
          </w:p>
        </w:tc>
        <w:tc>
          <w:tcPr>
            <w:tcW w:w="989" w:type="dxa"/>
          </w:tcPr>
          <w:p w14:paraId="662D10F4" w14:textId="77777777" w:rsidR="00A7613F" w:rsidRDefault="004805B7" w:rsidP="00CB0430">
            <w:r>
              <w:rPr>
                <w:lang w:val="uk"/>
              </w:rPr>
              <w:lastRenderedPageBreak/>
              <w:t>В</w:t>
            </w:r>
          </w:p>
        </w:tc>
        <w:tc>
          <w:tcPr>
            <w:tcW w:w="1028" w:type="dxa"/>
          </w:tcPr>
          <w:p w14:paraId="69F04BDC" w14:textId="77777777" w:rsidR="00A7613F" w:rsidRDefault="004805B7" w:rsidP="00CB0430">
            <w:r>
              <w:rPr>
                <w:lang w:val="uk"/>
              </w:rPr>
              <w:t>Н</w:t>
            </w:r>
          </w:p>
        </w:tc>
      </w:tr>
    </w:tbl>
    <w:p w14:paraId="57343D15" w14:textId="77777777" w:rsidR="00A7613F" w:rsidRDefault="00A7613F" w:rsidP="00A7613F"/>
    <w:p w14:paraId="0A18270C" w14:textId="77777777" w:rsidR="00A7613F" w:rsidRDefault="004805B7" w:rsidP="00A7613F">
      <w:pPr>
        <w:rPr>
          <w:b/>
          <w:sz w:val="22"/>
        </w:rPr>
      </w:pPr>
      <w:r>
        <w:rPr>
          <w:b/>
          <w:sz w:val="22"/>
          <w:lang w:val="uk"/>
        </w:rPr>
        <w:t>Запропонована стратегія розкриття інформації</w:t>
      </w:r>
    </w:p>
    <w:p w14:paraId="5B9EB7B9" w14:textId="77777777" w:rsidR="00A7613F" w:rsidRDefault="00A7613F" w:rsidP="00A7613F">
      <w:pPr>
        <w:rPr>
          <w:b/>
          <w:sz w:val="22"/>
        </w:rPr>
      </w:pPr>
    </w:p>
    <w:tbl>
      <w:tblPr>
        <w:tblStyle w:val="a5"/>
        <w:tblW w:w="0" w:type="auto"/>
        <w:tblLook w:val="04A0" w:firstRow="1" w:lastRow="0" w:firstColumn="1" w:lastColumn="0" w:noHBand="0" w:noVBand="1"/>
      </w:tblPr>
      <w:tblGrid>
        <w:gridCol w:w="3136"/>
        <w:gridCol w:w="3174"/>
        <w:gridCol w:w="3140"/>
      </w:tblGrid>
      <w:tr w:rsidR="009E0D30" w14:paraId="0D6D74C0" w14:textId="77777777" w:rsidTr="00CB0430">
        <w:tc>
          <w:tcPr>
            <w:tcW w:w="3226" w:type="dxa"/>
            <w:shd w:val="clear" w:color="auto" w:fill="D5DCE4" w:themeFill="text2" w:themeFillTint="33"/>
          </w:tcPr>
          <w:p w14:paraId="72FB0F2B" w14:textId="77777777" w:rsidR="00A7613F" w:rsidRPr="005529F2" w:rsidRDefault="004805B7" w:rsidP="00CB0430">
            <w:pPr>
              <w:rPr>
                <w:b/>
              </w:rPr>
            </w:pPr>
            <w:r w:rsidRPr="005529F2">
              <w:rPr>
                <w:b/>
                <w:lang w:val="uk"/>
              </w:rPr>
              <w:t>Група зацікавлених сторін</w:t>
            </w:r>
          </w:p>
        </w:tc>
        <w:tc>
          <w:tcPr>
            <w:tcW w:w="3226" w:type="dxa"/>
            <w:shd w:val="clear" w:color="auto" w:fill="D5DCE4" w:themeFill="text2" w:themeFillTint="33"/>
          </w:tcPr>
          <w:p w14:paraId="2481D218" w14:textId="77777777" w:rsidR="00A7613F" w:rsidRPr="005529F2" w:rsidRDefault="004805B7" w:rsidP="00CB0430">
            <w:pPr>
              <w:rPr>
                <w:b/>
              </w:rPr>
            </w:pPr>
            <w:r w:rsidRPr="005529F2">
              <w:rPr>
                <w:b/>
                <w:lang w:val="uk"/>
              </w:rPr>
              <w:t xml:space="preserve">Надана інформація про </w:t>
            </w:r>
            <w:proofErr w:type="spellStart"/>
            <w:r>
              <w:rPr>
                <w:b/>
                <w:lang w:val="uk"/>
              </w:rPr>
              <w:t>проєкт</w:t>
            </w:r>
            <w:proofErr w:type="spellEnd"/>
            <w:r w:rsidRPr="005529F2">
              <w:rPr>
                <w:b/>
                <w:lang w:val="uk"/>
              </w:rPr>
              <w:t xml:space="preserve"> `</w:t>
            </w:r>
          </w:p>
        </w:tc>
        <w:tc>
          <w:tcPr>
            <w:tcW w:w="3227" w:type="dxa"/>
            <w:shd w:val="clear" w:color="auto" w:fill="D5DCE4" w:themeFill="text2" w:themeFillTint="33"/>
          </w:tcPr>
          <w:p w14:paraId="2365A4BC" w14:textId="77777777" w:rsidR="00A7613F" w:rsidRPr="005529F2" w:rsidRDefault="00A959D9" w:rsidP="00CB0430">
            <w:pPr>
              <w:rPr>
                <w:b/>
              </w:rPr>
            </w:pPr>
            <w:r>
              <w:rPr>
                <w:b/>
                <w:lang w:val="uk"/>
              </w:rPr>
              <w:t>Засоби розкриття інформації</w:t>
            </w:r>
          </w:p>
        </w:tc>
      </w:tr>
      <w:tr w:rsidR="009E0D30" w:rsidRPr="004805B7" w14:paraId="370B739F" w14:textId="77777777" w:rsidTr="00CB0430">
        <w:tc>
          <w:tcPr>
            <w:tcW w:w="3226" w:type="dxa"/>
          </w:tcPr>
          <w:p w14:paraId="3B24A2EC" w14:textId="77777777" w:rsidR="00A7613F" w:rsidRPr="004805B7" w:rsidRDefault="004805B7" w:rsidP="00CB0430">
            <w:pPr>
              <w:rPr>
                <w:sz w:val="22"/>
                <w:szCs w:val="22"/>
                <w:lang w:val="ru-RU"/>
              </w:rPr>
            </w:pPr>
            <w:r w:rsidRPr="004D33BA">
              <w:rPr>
                <w:sz w:val="22"/>
                <w:szCs w:val="22"/>
                <w:lang w:val="uk"/>
              </w:rPr>
              <w:t>Міністерство охорони здоров'я України;</w:t>
            </w:r>
          </w:p>
          <w:p w14:paraId="078B01EB" w14:textId="77777777" w:rsidR="00A7613F" w:rsidRPr="004805B7" w:rsidRDefault="004805B7" w:rsidP="00CB0430">
            <w:pPr>
              <w:rPr>
                <w:sz w:val="22"/>
                <w:szCs w:val="22"/>
                <w:lang w:val="ru-RU"/>
              </w:rPr>
            </w:pPr>
            <w:r w:rsidRPr="004D33BA">
              <w:rPr>
                <w:sz w:val="22"/>
                <w:szCs w:val="22"/>
                <w:lang w:val="uk"/>
              </w:rPr>
              <w:t>управління охорони здоров'я обласних та міських адміністрацій; заклади охорони здоров'я</w:t>
            </w:r>
          </w:p>
          <w:p w14:paraId="7AD5411A" w14:textId="77777777" w:rsidR="00A7613F" w:rsidRPr="004805B7" w:rsidRDefault="00A7613F" w:rsidP="00CB0430">
            <w:pPr>
              <w:rPr>
                <w:sz w:val="22"/>
                <w:szCs w:val="22"/>
                <w:lang w:val="ru-RU"/>
              </w:rPr>
            </w:pPr>
          </w:p>
          <w:p w14:paraId="622F6D24" w14:textId="77777777" w:rsidR="00A7613F" w:rsidRPr="004805B7" w:rsidRDefault="004805B7" w:rsidP="00CB0430">
            <w:pPr>
              <w:rPr>
                <w:sz w:val="22"/>
                <w:szCs w:val="22"/>
                <w:lang w:val="ru-RU"/>
              </w:rPr>
            </w:pPr>
            <w:r w:rsidRPr="004D33BA">
              <w:rPr>
                <w:sz w:val="22"/>
                <w:szCs w:val="22"/>
                <w:lang w:val="uk"/>
              </w:rPr>
              <w:t>ГРП</w:t>
            </w:r>
          </w:p>
          <w:p w14:paraId="507AF118" w14:textId="77777777" w:rsidR="00A7613F" w:rsidRPr="004805B7" w:rsidRDefault="00A7613F" w:rsidP="00CB0430">
            <w:pPr>
              <w:rPr>
                <w:sz w:val="22"/>
                <w:szCs w:val="22"/>
                <w:lang w:val="ru-RU"/>
              </w:rPr>
            </w:pPr>
          </w:p>
          <w:p w14:paraId="177FF898" w14:textId="77777777" w:rsidR="00A7613F" w:rsidRPr="004805B7" w:rsidRDefault="004805B7" w:rsidP="00CB0430">
            <w:pPr>
              <w:rPr>
                <w:sz w:val="22"/>
                <w:szCs w:val="22"/>
                <w:lang w:val="ru-RU"/>
              </w:rPr>
            </w:pPr>
            <w:r w:rsidRPr="004D33BA">
              <w:rPr>
                <w:sz w:val="22"/>
                <w:szCs w:val="22"/>
                <w:lang w:val="uk"/>
              </w:rPr>
              <w:t>Центр громадського здоров'я</w:t>
            </w:r>
          </w:p>
          <w:p w14:paraId="23708EA7" w14:textId="77777777" w:rsidR="00A7613F" w:rsidRPr="004805B7" w:rsidRDefault="00A7613F" w:rsidP="00CB0430">
            <w:pPr>
              <w:rPr>
                <w:sz w:val="22"/>
                <w:szCs w:val="22"/>
                <w:lang w:val="ru-RU"/>
              </w:rPr>
            </w:pPr>
          </w:p>
          <w:p w14:paraId="301D4F52" w14:textId="77777777" w:rsidR="00A7613F" w:rsidRPr="004805B7" w:rsidRDefault="004805B7" w:rsidP="00CB0430">
            <w:pPr>
              <w:rPr>
                <w:sz w:val="22"/>
                <w:szCs w:val="22"/>
                <w:lang w:val="ru-RU"/>
              </w:rPr>
            </w:pPr>
            <w:r w:rsidRPr="004D33BA">
              <w:rPr>
                <w:sz w:val="22"/>
                <w:szCs w:val="22"/>
                <w:lang w:val="uk"/>
              </w:rPr>
              <w:t>Національна служба здоров'я України</w:t>
            </w:r>
          </w:p>
          <w:p w14:paraId="6F78CE89" w14:textId="77777777" w:rsidR="00A7613F" w:rsidRPr="004805B7" w:rsidRDefault="00A7613F" w:rsidP="00CB0430">
            <w:pPr>
              <w:rPr>
                <w:lang w:val="ru-RU"/>
              </w:rPr>
            </w:pPr>
          </w:p>
        </w:tc>
        <w:tc>
          <w:tcPr>
            <w:tcW w:w="3226" w:type="dxa"/>
            <w:vMerge w:val="restart"/>
          </w:tcPr>
          <w:p w14:paraId="08983E22" w14:textId="77777777" w:rsidR="00A7613F" w:rsidRPr="004805B7" w:rsidRDefault="004805B7" w:rsidP="00CB0430">
            <w:pPr>
              <w:pStyle w:val="a3"/>
              <w:numPr>
                <w:ilvl w:val="0"/>
                <w:numId w:val="8"/>
              </w:numPr>
              <w:rPr>
                <w:rFonts w:asciiTheme="minorHAnsi" w:hAnsiTheme="minorHAnsi" w:cstheme="minorHAnsi"/>
                <w:sz w:val="22"/>
                <w:szCs w:val="22"/>
                <w:lang w:val="ru-RU"/>
              </w:rPr>
            </w:pPr>
            <w:r w:rsidRPr="005529F2">
              <w:rPr>
                <w:rFonts w:asciiTheme="minorHAnsi" w:hAnsiTheme="minorHAnsi" w:cstheme="minorHAnsi"/>
                <w:sz w:val="22"/>
                <w:szCs w:val="22"/>
                <w:lang w:val="uk"/>
              </w:rPr>
              <w:t xml:space="preserve">Стислий виклад цілей </w:t>
            </w:r>
            <w:r>
              <w:rPr>
                <w:rFonts w:asciiTheme="minorHAnsi" w:hAnsiTheme="minorHAnsi" w:cstheme="minorHAnsi"/>
                <w:sz w:val="22"/>
                <w:szCs w:val="22"/>
                <w:lang w:val="uk"/>
              </w:rPr>
              <w:t>проєкт</w:t>
            </w:r>
            <w:r w:rsidRPr="005529F2">
              <w:rPr>
                <w:rFonts w:asciiTheme="minorHAnsi" w:hAnsiTheme="minorHAnsi" w:cstheme="minorHAnsi"/>
                <w:sz w:val="22"/>
                <w:szCs w:val="22"/>
                <w:lang w:val="uk"/>
              </w:rPr>
              <w:t xml:space="preserve">у та загальна інформація про </w:t>
            </w:r>
            <w:proofErr w:type="spellStart"/>
            <w:r>
              <w:rPr>
                <w:rFonts w:asciiTheme="minorHAnsi" w:hAnsiTheme="minorHAnsi" w:cstheme="minorHAnsi"/>
                <w:sz w:val="22"/>
                <w:szCs w:val="22"/>
                <w:lang w:val="uk"/>
              </w:rPr>
              <w:t>проєкт</w:t>
            </w:r>
            <w:proofErr w:type="spellEnd"/>
            <w:r w:rsidRPr="005529F2">
              <w:rPr>
                <w:rFonts w:asciiTheme="minorHAnsi" w:hAnsiTheme="minorHAnsi" w:cstheme="minorHAnsi"/>
                <w:sz w:val="22"/>
                <w:szCs w:val="22"/>
                <w:lang w:val="uk"/>
              </w:rPr>
              <w:t xml:space="preserve">. Регулярне інформування про реалізацію </w:t>
            </w:r>
            <w:r>
              <w:rPr>
                <w:rFonts w:asciiTheme="minorHAnsi" w:hAnsiTheme="minorHAnsi" w:cstheme="minorHAnsi"/>
                <w:sz w:val="22"/>
                <w:szCs w:val="22"/>
                <w:lang w:val="uk"/>
              </w:rPr>
              <w:t>проєкт</w:t>
            </w:r>
            <w:r w:rsidRPr="005529F2">
              <w:rPr>
                <w:rFonts w:asciiTheme="minorHAnsi" w:hAnsiTheme="minorHAnsi" w:cstheme="minorHAnsi"/>
                <w:sz w:val="22"/>
                <w:szCs w:val="22"/>
                <w:lang w:val="uk"/>
              </w:rPr>
              <w:t>у</w:t>
            </w:r>
          </w:p>
          <w:p w14:paraId="5394423E" w14:textId="77777777" w:rsidR="00A7613F" w:rsidRDefault="004805B7" w:rsidP="00CB0430">
            <w:pPr>
              <w:pStyle w:val="a3"/>
              <w:numPr>
                <w:ilvl w:val="0"/>
                <w:numId w:val="8"/>
              </w:numPr>
              <w:rPr>
                <w:rFonts w:asciiTheme="minorHAnsi" w:hAnsiTheme="minorHAnsi" w:cstheme="minorHAnsi"/>
                <w:sz w:val="22"/>
                <w:szCs w:val="22"/>
              </w:rPr>
            </w:pPr>
            <w:r>
              <w:rPr>
                <w:rFonts w:asciiTheme="minorHAnsi" w:hAnsiTheme="minorHAnsi" w:cstheme="minorHAnsi"/>
                <w:sz w:val="22"/>
                <w:szCs w:val="22"/>
                <w:lang w:val="uk"/>
              </w:rPr>
              <w:t>План екологічних та соціальних зобов'язань</w:t>
            </w:r>
          </w:p>
          <w:p w14:paraId="79BE1E96" w14:textId="77777777" w:rsidR="00A7613F" w:rsidRDefault="004805B7" w:rsidP="00CB0430">
            <w:pPr>
              <w:pStyle w:val="a3"/>
              <w:numPr>
                <w:ilvl w:val="0"/>
                <w:numId w:val="8"/>
              </w:numPr>
              <w:rPr>
                <w:rFonts w:asciiTheme="minorHAnsi" w:hAnsiTheme="minorHAnsi" w:cstheme="minorHAnsi"/>
                <w:sz w:val="22"/>
                <w:szCs w:val="22"/>
              </w:rPr>
            </w:pPr>
            <w:r>
              <w:rPr>
                <w:rFonts w:asciiTheme="minorHAnsi" w:hAnsiTheme="minorHAnsi" w:cstheme="minorHAnsi"/>
                <w:sz w:val="22"/>
                <w:szCs w:val="22"/>
                <w:lang w:val="uk"/>
              </w:rPr>
              <w:t>План залучення зацікавлених сторін</w:t>
            </w:r>
          </w:p>
          <w:p w14:paraId="0DA84713" w14:textId="77777777" w:rsidR="00A7613F" w:rsidRPr="004805B7" w:rsidRDefault="004805B7" w:rsidP="00CB0430">
            <w:pPr>
              <w:pStyle w:val="a3"/>
              <w:numPr>
                <w:ilvl w:val="0"/>
                <w:numId w:val="8"/>
              </w:numPr>
              <w:rPr>
                <w:rFonts w:asciiTheme="minorHAnsi" w:hAnsiTheme="minorHAnsi" w:cstheme="minorHAnsi"/>
                <w:sz w:val="22"/>
                <w:szCs w:val="22"/>
                <w:lang w:val="ru-RU"/>
              </w:rPr>
            </w:pPr>
            <w:r>
              <w:rPr>
                <w:rFonts w:asciiTheme="minorHAnsi" w:hAnsiTheme="minorHAnsi" w:cstheme="minorHAnsi"/>
                <w:sz w:val="22"/>
                <w:szCs w:val="22"/>
                <w:lang w:val="uk"/>
              </w:rPr>
              <w:t>Рамковий документ з екологічного та соціального менеджменту (РДЕСМ) та інші документи, пов'язані з ЕСП</w:t>
            </w:r>
          </w:p>
          <w:p w14:paraId="0BBB4AA5" w14:textId="77777777" w:rsidR="00A7613F" w:rsidRPr="004805B7" w:rsidRDefault="004805B7" w:rsidP="00CB0430">
            <w:pPr>
              <w:pStyle w:val="a3"/>
              <w:numPr>
                <w:ilvl w:val="0"/>
                <w:numId w:val="8"/>
              </w:numPr>
              <w:rPr>
                <w:rFonts w:asciiTheme="minorHAnsi" w:hAnsiTheme="minorHAnsi" w:cstheme="minorHAnsi"/>
                <w:sz w:val="22"/>
                <w:szCs w:val="22"/>
                <w:lang w:val="ru-RU"/>
              </w:rPr>
            </w:pPr>
            <w:r>
              <w:rPr>
                <w:rFonts w:asciiTheme="minorHAnsi" w:hAnsiTheme="minorHAnsi" w:cstheme="minorHAnsi"/>
                <w:sz w:val="22"/>
                <w:szCs w:val="22"/>
                <w:lang w:val="uk"/>
              </w:rPr>
              <w:t>Механізм розгляду та врегулювання скарг</w:t>
            </w:r>
          </w:p>
        </w:tc>
        <w:tc>
          <w:tcPr>
            <w:tcW w:w="3227" w:type="dxa"/>
            <w:vMerge w:val="restart"/>
          </w:tcPr>
          <w:p w14:paraId="2B2B4BE6" w14:textId="77777777" w:rsidR="00A7613F" w:rsidRPr="004805B7" w:rsidRDefault="004805B7" w:rsidP="00CB0430">
            <w:pPr>
              <w:rPr>
                <w:sz w:val="22"/>
                <w:szCs w:val="22"/>
                <w:lang w:val="ru-RU"/>
              </w:rPr>
            </w:pPr>
            <w:r w:rsidRPr="00874332">
              <w:rPr>
                <w:sz w:val="22"/>
                <w:szCs w:val="22"/>
                <w:lang w:val="uk"/>
              </w:rPr>
              <w:t>Розкриття інформації на офіційних вебсайтах, у соціальних мережах та національних ЗМІ, урядові та офіційні повідомлення, публікації та прес-релізи на офіційних вебсайтах як українською, так і англійською мовами</w:t>
            </w:r>
          </w:p>
        </w:tc>
      </w:tr>
      <w:tr w:rsidR="009E0D30" w:rsidRPr="004805B7" w14:paraId="7DBAC675" w14:textId="77777777" w:rsidTr="00CB0430">
        <w:tc>
          <w:tcPr>
            <w:tcW w:w="3226" w:type="dxa"/>
          </w:tcPr>
          <w:p w14:paraId="4D5F7606" w14:textId="77777777" w:rsidR="00A7613F" w:rsidRPr="004805B7" w:rsidRDefault="004805B7" w:rsidP="00CB0430">
            <w:pPr>
              <w:rPr>
                <w:lang w:val="ru-RU"/>
              </w:rPr>
            </w:pPr>
            <w:r w:rsidRPr="004D33BA">
              <w:rPr>
                <w:sz w:val="22"/>
                <w:szCs w:val="22"/>
                <w:lang w:val="uk"/>
              </w:rPr>
              <w:t>Кабінет Міністрів України</w:t>
            </w:r>
            <w:r w:rsidR="00A959D9">
              <w:rPr>
                <w:sz w:val="22"/>
                <w:szCs w:val="22"/>
                <w:lang w:val="uk"/>
              </w:rPr>
              <w:t>, Міністерство фінансів України</w:t>
            </w:r>
          </w:p>
        </w:tc>
        <w:tc>
          <w:tcPr>
            <w:tcW w:w="3226" w:type="dxa"/>
            <w:vMerge/>
          </w:tcPr>
          <w:p w14:paraId="623FA728" w14:textId="77777777" w:rsidR="00A7613F" w:rsidRPr="004805B7" w:rsidRDefault="00A7613F" w:rsidP="00CB0430">
            <w:pPr>
              <w:rPr>
                <w:lang w:val="ru-RU"/>
              </w:rPr>
            </w:pPr>
          </w:p>
        </w:tc>
        <w:tc>
          <w:tcPr>
            <w:tcW w:w="3227" w:type="dxa"/>
            <w:vMerge/>
          </w:tcPr>
          <w:p w14:paraId="3EFCA7B6" w14:textId="77777777" w:rsidR="00A7613F" w:rsidRPr="004805B7" w:rsidRDefault="00A7613F" w:rsidP="00CB0430">
            <w:pPr>
              <w:rPr>
                <w:lang w:val="ru-RU"/>
              </w:rPr>
            </w:pPr>
          </w:p>
        </w:tc>
      </w:tr>
      <w:tr w:rsidR="009E0D30" w:rsidRPr="004805B7" w14:paraId="01BAD8EB" w14:textId="77777777" w:rsidTr="00CB0430">
        <w:tc>
          <w:tcPr>
            <w:tcW w:w="3226" w:type="dxa"/>
          </w:tcPr>
          <w:p w14:paraId="015C7271" w14:textId="77777777" w:rsidR="00A7613F" w:rsidRPr="004805B7" w:rsidRDefault="004805B7" w:rsidP="00CB0430">
            <w:pPr>
              <w:rPr>
                <w:sz w:val="22"/>
                <w:szCs w:val="22"/>
                <w:lang w:val="ru-RU"/>
              </w:rPr>
            </w:pPr>
            <w:r w:rsidRPr="0059538D">
              <w:rPr>
                <w:sz w:val="22"/>
                <w:szCs w:val="22"/>
                <w:lang w:val="uk"/>
              </w:rPr>
              <w:t>Неурядові та місцеві громадські організації</w:t>
            </w:r>
          </w:p>
          <w:p w14:paraId="529EF6F2" w14:textId="77777777" w:rsidR="00A7613F" w:rsidRPr="004805B7" w:rsidRDefault="00A7613F" w:rsidP="00CB0430">
            <w:pPr>
              <w:rPr>
                <w:sz w:val="22"/>
                <w:szCs w:val="22"/>
                <w:lang w:val="ru-RU"/>
              </w:rPr>
            </w:pPr>
          </w:p>
          <w:p w14:paraId="37748DF6" w14:textId="77777777" w:rsidR="00A7613F" w:rsidRPr="004805B7" w:rsidRDefault="004805B7" w:rsidP="00CB0430">
            <w:pPr>
              <w:rPr>
                <w:lang w:val="ru-RU"/>
              </w:rPr>
            </w:pPr>
            <w:r w:rsidRPr="0059538D">
              <w:rPr>
                <w:sz w:val="22"/>
                <w:szCs w:val="22"/>
                <w:lang w:val="uk"/>
              </w:rPr>
              <w:t xml:space="preserve">Національні та місцеві засоби масової інформації </w:t>
            </w:r>
          </w:p>
        </w:tc>
        <w:tc>
          <w:tcPr>
            <w:tcW w:w="3226" w:type="dxa"/>
            <w:vMerge/>
          </w:tcPr>
          <w:p w14:paraId="0D76F8D4" w14:textId="77777777" w:rsidR="00A7613F" w:rsidRPr="004805B7" w:rsidRDefault="00A7613F" w:rsidP="00CB0430">
            <w:pPr>
              <w:rPr>
                <w:lang w:val="ru-RU"/>
              </w:rPr>
            </w:pPr>
          </w:p>
        </w:tc>
        <w:tc>
          <w:tcPr>
            <w:tcW w:w="3227" w:type="dxa"/>
          </w:tcPr>
          <w:p w14:paraId="2834840E" w14:textId="77777777" w:rsidR="00A7613F" w:rsidRPr="004805B7" w:rsidRDefault="004805B7" w:rsidP="00CB0430">
            <w:pPr>
              <w:rPr>
                <w:lang w:val="ru-RU"/>
              </w:rPr>
            </w:pPr>
            <w:r>
              <w:rPr>
                <w:sz w:val="22"/>
                <w:szCs w:val="22"/>
                <w:lang w:val="uk"/>
              </w:rPr>
              <w:t xml:space="preserve">Офіційні повідомлення, публікації та прес-релізи на офіційних вебсайтах. Запит </w:t>
            </w:r>
            <w:r w:rsidR="00A959D9">
              <w:rPr>
                <w:sz w:val="22"/>
                <w:szCs w:val="22"/>
                <w:lang w:val="uk"/>
              </w:rPr>
              <w:t xml:space="preserve">на надання </w:t>
            </w:r>
            <w:r>
              <w:rPr>
                <w:sz w:val="22"/>
                <w:szCs w:val="22"/>
                <w:lang w:val="uk"/>
              </w:rPr>
              <w:t>публічної інформаці</w:t>
            </w:r>
            <w:r w:rsidR="00A959D9">
              <w:rPr>
                <w:sz w:val="22"/>
                <w:szCs w:val="22"/>
                <w:lang w:val="uk"/>
              </w:rPr>
              <w:t>ї відповідно до Закону України «</w:t>
            </w:r>
            <w:r>
              <w:rPr>
                <w:sz w:val="22"/>
                <w:szCs w:val="22"/>
                <w:lang w:val="uk"/>
              </w:rPr>
              <w:t>Про доступ до публічної інфо</w:t>
            </w:r>
            <w:r w:rsidR="00A959D9">
              <w:rPr>
                <w:sz w:val="22"/>
                <w:szCs w:val="22"/>
                <w:lang w:val="uk"/>
              </w:rPr>
              <w:t>рмації»</w:t>
            </w:r>
          </w:p>
        </w:tc>
      </w:tr>
      <w:tr w:rsidR="009E0D30" w14:paraId="74EC3759" w14:textId="77777777" w:rsidTr="00CB0430">
        <w:tc>
          <w:tcPr>
            <w:tcW w:w="3226" w:type="dxa"/>
          </w:tcPr>
          <w:p w14:paraId="78205BF3" w14:textId="77777777" w:rsidR="00A7613F" w:rsidRDefault="004805B7" w:rsidP="00CB0430">
            <w:r w:rsidRPr="00AA7F94">
              <w:rPr>
                <w:sz w:val="22"/>
                <w:szCs w:val="22"/>
                <w:lang w:val="uk"/>
              </w:rPr>
              <w:t>Місцеві органи влади</w:t>
            </w:r>
          </w:p>
        </w:tc>
        <w:tc>
          <w:tcPr>
            <w:tcW w:w="3226" w:type="dxa"/>
            <w:vMerge/>
          </w:tcPr>
          <w:p w14:paraId="0C747C68" w14:textId="77777777" w:rsidR="00A7613F" w:rsidRDefault="00A7613F" w:rsidP="00CB0430"/>
        </w:tc>
        <w:tc>
          <w:tcPr>
            <w:tcW w:w="3227" w:type="dxa"/>
          </w:tcPr>
          <w:p w14:paraId="6BD56763" w14:textId="77777777" w:rsidR="00A7613F" w:rsidRPr="00874332" w:rsidRDefault="004805B7" w:rsidP="00CB0430">
            <w:pPr>
              <w:rPr>
                <w:sz w:val="22"/>
                <w:szCs w:val="22"/>
              </w:rPr>
            </w:pPr>
            <w:r w:rsidRPr="00874332">
              <w:rPr>
                <w:sz w:val="22"/>
                <w:szCs w:val="22"/>
                <w:lang w:val="uk"/>
              </w:rPr>
              <w:t>Офіційні повідомлення в місцевих засобах масової інформації та офісах, спілкування з місцевим</w:t>
            </w:r>
            <w:r w:rsidR="00A959D9">
              <w:rPr>
                <w:sz w:val="22"/>
                <w:szCs w:val="22"/>
                <w:lang w:val="uk"/>
              </w:rPr>
              <w:t xml:space="preserve"> населенням та іншими </w:t>
            </w:r>
            <w:r w:rsidRPr="00874332">
              <w:rPr>
                <w:sz w:val="22"/>
                <w:szCs w:val="22"/>
                <w:lang w:val="uk"/>
              </w:rPr>
              <w:t>зацікавленими сторонами</w:t>
            </w:r>
            <w:r w:rsidR="00A959D9">
              <w:rPr>
                <w:sz w:val="22"/>
                <w:szCs w:val="22"/>
                <w:lang w:val="uk"/>
              </w:rPr>
              <w:t xml:space="preserve"> на місцевому рівні</w:t>
            </w:r>
          </w:p>
        </w:tc>
      </w:tr>
    </w:tbl>
    <w:p w14:paraId="2514513D" w14:textId="77777777" w:rsidR="00A7613F" w:rsidRDefault="00A7613F" w:rsidP="00A7613F"/>
    <w:p w14:paraId="177D4709" w14:textId="77777777" w:rsidR="00B00886" w:rsidRDefault="00B00886" w:rsidP="00A7613F">
      <w:pPr>
        <w:spacing w:line="0" w:lineRule="atLeast"/>
        <w:rPr>
          <w:b/>
          <w:sz w:val="22"/>
        </w:rPr>
      </w:pPr>
    </w:p>
    <w:p w14:paraId="3C1AEEC0" w14:textId="77777777" w:rsidR="00A7613F" w:rsidRPr="004805B7" w:rsidRDefault="004805B7" w:rsidP="00A7613F">
      <w:pPr>
        <w:spacing w:line="0" w:lineRule="atLeast"/>
        <w:rPr>
          <w:b/>
          <w:sz w:val="22"/>
          <w:lang w:val="ru-RU"/>
        </w:rPr>
      </w:pPr>
      <w:r>
        <w:rPr>
          <w:b/>
          <w:sz w:val="22"/>
          <w:lang w:val="uk"/>
        </w:rPr>
        <w:t>Запропонована Стратегія проведення консультацій та залучення зацікавлених сторін</w:t>
      </w:r>
    </w:p>
    <w:p w14:paraId="7046045A" w14:textId="77777777" w:rsidR="00A7613F" w:rsidRPr="004805B7" w:rsidRDefault="00A7613F" w:rsidP="00A7613F">
      <w:pPr>
        <w:rPr>
          <w:lang w:val="ru-RU"/>
        </w:rPr>
      </w:pPr>
    </w:p>
    <w:tbl>
      <w:tblPr>
        <w:tblStyle w:val="a5"/>
        <w:tblW w:w="0" w:type="auto"/>
        <w:tblLook w:val="04A0" w:firstRow="1" w:lastRow="0" w:firstColumn="1" w:lastColumn="0" w:noHBand="0" w:noVBand="1"/>
      </w:tblPr>
      <w:tblGrid>
        <w:gridCol w:w="1876"/>
        <w:gridCol w:w="1929"/>
        <w:gridCol w:w="1881"/>
        <w:gridCol w:w="1930"/>
        <w:gridCol w:w="1834"/>
      </w:tblGrid>
      <w:tr w:rsidR="009E0D30" w14:paraId="0B043078" w14:textId="77777777" w:rsidTr="00CB0430">
        <w:tc>
          <w:tcPr>
            <w:tcW w:w="1935" w:type="dxa"/>
            <w:shd w:val="clear" w:color="auto" w:fill="D5DCE4" w:themeFill="text2" w:themeFillTint="33"/>
          </w:tcPr>
          <w:p w14:paraId="4921F146" w14:textId="77777777" w:rsidR="00A7613F" w:rsidRPr="00986D2F" w:rsidRDefault="004805B7" w:rsidP="00CB0430">
            <w:pPr>
              <w:rPr>
                <w:b/>
                <w:sz w:val="22"/>
                <w:szCs w:val="22"/>
              </w:rPr>
            </w:pPr>
            <w:r w:rsidRPr="00986D2F">
              <w:rPr>
                <w:b/>
                <w:sz w:val="22"/>
                <w:szCs w:val="22"/>
                <w:lang w:val="uk"/>
              </w:rPr>
              <w:t>Метод</w:t>
            </w:r>
          </w:p>
        </w:tc>
        <w:tc>
          <w:tcPr>
            <w:tcW w:w="1936" w:type="dxa"/>
            <w:shd w:val="clear" w:color="auto" w:fill="D5DCE4" w:themeFill="text2" w:themeFillTint="33"/>
          </w:tcPr>
          <w:p w14:paraId="3631D895" w14:textId="77777777" w:rsidR="00A7613F" w:rsidRPr="00986D2F" w:rsidRDefault="004805B7" w:rsidP="00CB0430">
            <w:pPr>
              <w:rPr>
                <w:b/>
                <w:sz w:val="22"/>
                <w:szCs w:val="22"/>
              </w:rPr>
            </w:pPr>
            <w:r w:rsidRPr="00986D2F">
              <w:rPr>
                <w:b/>
                <w:sz w:val="22"/>
                <w:szCs w:val="22"/>
                <w:lang w:val="uk"/>
              </w:rPr>
              <w:t>Опис</w:t>
            </w:r>
          </w:p>
        </w:tc>
        <w:tc>
          <w:tcPr>
            <w:tcW w:w="1936" w:type="dxa"/>
            <w:shd w:val="clear" w:color="auto" w:fill="D5DCE4" w:themeFill="text2" w:themeFillTint="33"/>
          </w:tcPr>
          <w:p w14:paraId="314E90EA" w14:textId="77777777" w:rsidR="00A7613F" w:rsidRPr="00986D2F" w:rsidRDefault="004805B7" w:rsidP="00CB0430">
            <w:pPr>
              <w:rPr>
                <w:b/>
                <w:sz w:val="22"/>
                <w:szCs w:val="22"/>
              </w:rPr>
            </w:pPr>
            <w:r w:rsidRPr="00986D2F">
              <w:rPr>
                <w:b/>
                <w:sz w:val="22"/>
                <w:szCs w:val="22"/>
                <w:lang w:val="uk"/>
              </w:rPr>
              <w:t>Зміст</w:t>
            </w:r>
          </w:p>
        </w:tc>
        <w:tc>
          <w:tcPr>
            <w:tcW w:w="1936" w:type="dxa"/>
            <w:shd w:val="clear" w:color="auto" w:fill="D5DCE4" w:themeFill="text2" w:themeFillTint="33"/>
          </w:tcPr>
          <w:p w14:paraId="2E1A311C" w14:textId="77777777" w:rsidR="00A7613F" w:rsidRPr="00986D2F" w:rsidRDefault="004805B7" w:rsidP="00CB0430">
            <w:pPr>
              <w:rPr>
                <w:b/>
                <w:sz w:val="22"/>
                <w:szCs w:val="22"/>
              </w:rPr>
            </w:pPr>
            <w:r w:rsidRPr="00986D2F">
              <w:rPr>
                <w:b/>
                <w:sz w:val="22"/>
                <w:szCs w:val="22"/>
                <w:lang w:val="uk"/>
              </w:rPr>
              <w:t>Спосіб розповсюдження інформації</w:t>
            </w:r>
          </w:p>
        </w:tc>
        <w:tc>
          <w:tcPr>
            <w:tcW w:w="1936" w:type="dxa"/>
            <w:shd w:val="clear" w:color="auto" w:fill="D5DCE4" w:themeFill="text2" w:themeFillTint="33"/>
          </w:tcPr>
          <w:p w14:paraId="3DDAB951" w14:textId="77777777" w:rsidR="00A7613F" w:rsidRPr="00986D2F" w:rsidRDefault="004805B7" w:rsidP="00CB0430">
            <w:pPr>
              <w:rPr>
                <w:b/>
                <w:sz w:val="22"/>
                <w:szCs w:val="22"/>
              </w:rPr>
            </w:pPr>
            <w:r w:rsidRPr="00986D2F">
              <w:rPr>
                <w:b/>
                <w:sz w:val="22"/>
                <w:szCs w:val="22"/>
                <w:lang w:val="uk"/>
              </w:rPr>
              <w:t>Цільові групи</w:t>
            </w:r>
          </w:p>
        </w:tc>
      </w:tr>
      <w:tr w:rsidR="009E0D30" w14:paraId="135E4AE4" w14:textId="77777777" w:rsidTr="00CB0430">
        <w:tc>
          <w:tcPr>
            <w:tcW w:w="9679" w:type="dxa"/>
            <w:gridSpan w:val="5"/>
            <w:shd w:val="clear" w:color="auto" w:fill="D5DCE4" w:themeFill="text2" w:themeFillTint="33"/>
          </w:tcPr>
          <w:p w14:paraId="3AC42F7B" w14:textId="77777777" w:rsidR="00A7613F" w:rsidRPr="00986D2F" w:rsidRDefault="004805B7" w:rsidP="00CB0430">
            <w:pPr>
              <w:rPr>
                <w:b/>
                <w:sz w:val="22"/>
                <w:szCs w:val="22"/>
              </w:rPr>
            </w:pPr>
            <w:r w:rsidRPr="00986D2F">
              <w:rPr>
                <w:b/>
                <w:sz w:val="22"/>
                <w:szCs w:val="22"/>
                <w:lang w:val="uk"/>
              </w:rPr>
              <w:t>Надання інформації</w:t>
            </w:r>
          </w:p>
        </w:tc>
      </w:tr>
      <w:tr w:rsidR="009E0D30" w14:paraId="2F9309F9" w14:textId="77777777" w:rsidTr="00CB0430">
        <w:tc>
          <w:tcPr>
            <w:tcW w:w="1935" w:type="dxa"/>
          </w:tcPr>
          <w:p w14:paraId="236BD210" w14:textId="77777777" w:rsidR="00A7613F" w:rsidRPr="004805B7" w:rsidRDefault="004805B7" w:rsidP="00CB0430">
            <w:pPr>
              <w:rPr>
                <w:sz w:val="22"/>
                <w:szCs w:val="22"/>
                <w:lang w:val="ru-RU"/>
              </w:rPr>
            </w:pPr>
            <w:r w:rsidRPr="00986D2F">
              <w:rPr>
                <w:sz w:val="22"/>
                <w:szCs w:val="22"/>
                <w:lang w:val="uk"/>
              </w:rPr>
              <w:t xml:space="preserve">Публікації на офіційних вебсайтах та інших офіційних </w:t>
            </w:r>
            <w:r w:rsidRPr="00986D2F">
              <w:rPr>
                <w:sz w:val="22"/>
                <w:szCs w:val="22"/>
                <w:lang w:val="uk"/>
              </w:rPr>
              <w:lastRenderedPageBreak/>
              <w:t>каналах у соціальних мережах</w:t>
            </w:r>
          </w:p>
        </w:tc>
        <w:tc>
          <w:tcPr>
            <w:tcW w:w="1936" w:type="dxa"/>
          </w:tcPr>
          <w:p w14:paraId="7A66835B" w14:textId="77777777" w:rsidR="00A7613F" w:rsidRPr="004805B7" w:rsidRDefault="004805B7" w:rsidP="00CB0430">
            <w:pPr>
              <w:rPr>
                <w:sz w:val="22"/>
                <w:szCs w:val="22"/>
                <w:lang w:val="ru-RU"/>
              </w:rPr>
            </w:pPr>
            <w:r w:rsidRPr="00986D2F">
              <w:rPr>
                <w:sz w:val="22"/>
                <w:szCs w:val="22"/>
                <w:lang w:val="uk"/>
              </w:rPr>
              <w:lastRenderedPageBreak/>
              <w:t xml:space="preserve">Використовується для передачі інформації про </w:t>
            </w:r>
            <w:proofErr w:type="spellStart"/>
            <w:r>
              <w:rPr>
                <w:sz w:val="22"/>
                <w:szCs w:val="22"/>
                <w:lang w:val="uk"/>
              </w:rPr>
              <w:t>Проєкт</w:t>
            </w:r>
            <w:proofErr w:type="spellEnd"/>
            <w:r w:rsidRPr="00986D2F">
              <w:rPr>
                <w:sz w:val="22"/>
                <w:szCs w:val="22"/>
                <w:lang w:val="uk"/>
              </w:rPr>
              <w:t xml:space="preserve"> і </w:t>
            </w:r>
            <w:r w:rsidRPr="00986D2F">
              <w:rPr>
                <w:sz w:val="22"/>
                <w:szCs w:val="22"/>
                <w:lang w:val="uk"/>
              </w:rPr>
              <w:lastRenderedPageBreak/>
              <w:t>регулярних оновлень про хід його реалізації</w:t>
            </w:r>
          </w:p>
        </w:tc>
        <w:tc>
          <w:tcPr>
            <w:tcW w:w="1936" w:type="dxa"/>
          </w:tcPr>
          <w:p w14:paraId="49CA2834" w14:textId="77777777" w:rsidR="00A7613F" w:rsidRPr="004805B7" w:rsidRDefault="004805B7" w:rsidP="00CB0430">
            <w:pPr>
              <w:rPr>
                <w:sz w:val="22"/>
                <w:szCs w:val="22"/>
                <w:lang w:val="ru-RU"/>
              </w:rPr>
            </w:pPr>
            <w:r w:rsidRPr="00986D2F">
              <w:rPr>
                <w:sz w:val="22"/>
                <w:szCs w:val="22"/>
                <w:lang w:val="uk"/>
              </w:rPr>
              <w:lastRenderedPageBreak/>
              <w:t xml:space="preserve">Розкриття офіційної інформації, ПЕСЗ, ПЗЗС, РДЕСМ, </w:t>
            </w:r>
            <w:r w:rsidRPr="00986D2F">
              <w:rPr>
                <w:sz w:val="22"/>
                <w:szCs w:val="22"/>
                <w:lang w:val="uk"/>
              </w:rPr>
              <w:lastRenderedPageBreak/>
              <w:t>канали подання</w:t>
            </w:r>
            <w:r w:rsidR="00A959D9">
              <w:rPr>
                <w:sz w:val="22"/>
                <w:szCs w:val="22"/>
                <w:lang w:val="uk"/>
              </w:rPr>
              <w:t xml:space="preserve"> запитів в рамках</w:t>
            </w:r>
            <w:r w:rsidRPr="00986D2F">
              <w:rPr>
                <w:sz w:val="22"/>
                <w:szCs w:val="22"/>
                <w:lang w:val="uk"/>
              </w:rPr>
              <w:t xml:space="preserve"> МРВС тощо</w:t>
            </w:r>
          </w:p>
        </w:tc>
        <w:tc>
          <w:tcPr>
            <w:tcW w:w="1936" w:type="dxa"/>
          </w:tcPr>
          <w:p w14:paraId="6B752D54" w14:textId="77777777" w:rsidR="00A7613F" w:rsidRPr="004805B7" w:rsidRDefault="004805B7" w:rsidP="00CB0430">
            <w:pPr>
              <w:rPr>
                <w:sz w:val="22"/>
                <w:szCs w:val="22"/>
                <w:lang w:val="ru-RU"/>
              </w:rPr>
            </w:pPr>
            <w:r w:rsidRPr="00986D2F">
              <w:rPr>
                <w:sz w:val="22"/>
                <w:szCs w:val="22"/>
                <w:lang w:val="uk"/>
              </w:rPr>
              <w:lastRenderedPageBreak/>
              <w:t>Публікація інформації на місцевих мовах</w:t>
            </w:r>
          </w:p>
        </w:tc>
        <w:tc>
          <w:tcPr>
            <w:tcW w:w="1936" w:type="dxa"/>
          </w:tcPr>
          <w:p w14:paraId="0958D293" w14:textId="77777777" w:rsidR="00A7613F" w:rsidRPr="00986D2F" w:rsidRDefault="004805B7" w:rsidP="00CB0430">
            <w:pPr>
              <w:rPr>
                <w:sz w:val="22"/>
                <w:szCs w:val="22"/>
              </w:rPr>
            </w:pPr>
            <w:r w:rsidRPr="00986D2F">
              <w:rPr>
                <w:sz w:val="22"/>
                <w:szCs w:val="22"/>
                <w:lang w:val="uk"/>
              </w:rPr>
              <w:t>Всі зацікавлені сторони</w:t>
            </w:r>
          </w:p>
        </w:tc>
      </w:tr>
      <w:tr w:rsidR="009E0D30" w14:paraId="4B8D5CB9" w14:textId="77777777" w:rsidTr="00CB0430">
        <w:tc>
          <w:tcPr>
            <w:tcW w:w="1935" w:type="dxa"/>
          </w:tcPr>
          <w:p w14:paraId="36F2749E" w14:textId="77777777" w:rsidR="00A7613F" w:rsidRPr="004805B7" w:rsidRDefault="004805B7" w:rsidP="00CB0430">
            <w:pPr>
              <w:rPr>
                <w:sz w:val="22"/>
                <w:szCs w:val="22"/>
                <w:lang w:val="ru-RU"/>
              </w:rPr>
            </w:pPr>
            <w:r w:rsidRPr="00986D2F">
              <w:rPr>
                <w:sz w:val="22"/>
                <w:szCs w:val="22"/>
                <w:lang w:val="uk"/>
              </w:rPr>
              <w:t>Публікація інформації в місцевих засобах масової інформації та в громадських місцях, в медичних закладах тощо</w:t>
            </w:r>
          </w:p>
        </w:tc>
        <w:tc>
          <w:tcPr>
            <w:tcW w:w="1936" w:type="dxa"/>
          </w:tcPr>
          <w:p w14:paraId="0E709F1A" w14:textId="77777777" w:rsidR="00A7613F" w:rsidRPr="00986D2F" w:rsidRDefault="004805B7" w:rsidP="00CB0430">
            <w:pPr>
              <w:rPr>
                <w:sz w:val="22"/>
                <w:szCs w:val="22"/>
              </w:rPr>
            </w:pPr>
            <w:r w:rsidRPr="00986D2F">
              <w:rPr>
                <w:sz w:val="22"/>
                <w:szCs w:val="22"/>
                <w:lang w:val="uk"/>
              </w:rPr>
              <w:t xml:space="preserve">Інформація про </w:t>
            </w:r>
            <w:proofErr w:type="spellStart"/>
            <w:r w:rsidRPr="00986D2F">
              <w:rPr>
                <w:sz w:val="22"/>
                <w:szCs w:val="22"/>
                <w:lang w:val="uk"/>
              </w:rPr>
              <w:t>Проєкт</w:t>
            </w:r>
            <w:proofErr w:type="spellEnd"/>
          </w:p>
        </w:tc>
        <w:tc>
          <w:tcPr>
            <w:tcW w:w="1936" w:type="dxa"/>
          </w:tcPr>
          <w:p w14:paraId="119469C9" w14:textId="77777777" w:rsidR="00A7613F" w:rsidRPr="004805B7" w:rsidRDefault="00A959D9" w:rsidP="00CB0430">
            <w:pPr>
              <w:rPr>
                <w:sz w:val="22"/>
                <w:szCs w:val="22"/>
                <w:lang w:val="ru-RU"/>
              </w:rPr>
            </w:pPr>
            <w:r>
              <w:rPr>
                <w:sz w:val="22"/>
                <w:szCs w:val="22"/>
                <w:lang w:val="uk"/>
              </w:rPr>
              <w:t>Канали подання</w:t>
            </w:r>
            <w:r w:rsidR="004805B7" w:rsidRPr="00986D2F">
              <w:rPr>
                <w:sz w:val="22"/>
                <w:szCs w:val="22"/>
                <w:lang w:val="uk"/>
              </w:rPr>
              <w:t xml:space="preserve"> скарг через МРВС, організаційні питання, час і місце проведення консультацій з громадськістю тощо</w:t>
            </w:r>
          </w:p>
        </w:tc>
        <w:tc>
          <w:tcPr>
            <w:tcW w:w="1936" w:type="dxa"/>
          </w:tcPr>
          <w:p w14:paraId="05AB067C" w14:textId="77777777" w:rsidR="00A7613F" w:rsidRPr="004805B7" w:rsidRDefault="004805B7" w:rsidP="00CB0430">
            <w:pPr>
              <w:rPr>
                <w:sz w:val="22"/>
                <w:szCs w:val="22"/>
                <w:lang w:val="ru-RU"/>
              </w:rPr>
            </w:pPr>
            <w:r w:rsidRPr="00986D2F">
              <w:rPr>
                <w:sz w:val="22"/>
                <w:szCs w:val="22"/>
                <w:lang w:val="uk"/>
              </w:rPr>
              <w:t>Інформаційні дошки, публікації в місцевих ЗМІ, доступні на місцевих мовах</w:t>
            </w:r>
          </w:p>
        </w:tc>
        <w:tc>
          <w:tcPr>
            <w:tcW w:w="1936" w:type="dxa"/>
          </w:tcPr>
          <w:p w14:paraId="0D247AF2" w14:textId="77777777" w:rsidR="00A7613F" w:rsidRPr="00986D2F" w:rsidRDefault="004805B7" w:rsidP="00CB0430">
            <w:pPr>
              <w:rPr>
                <w:sz w:val="22"/>
                <w:szCs w:val="22"/>
              </w:rPr>
            </w:pPr>
            <w:r w:rsidRPr="00986D2F">
              <w:rPr>
                <w:sz w:val="22"/>
                <w:szCs w:val="22"/>
                <w:lang w:val="uk"/>
              </w:rPr>
              <w:t>Всі зацікавлені сторони</w:t>
            </w:r>
          </w:p>
        </w:tc>
      </w:tr>
      <w:tr w:rsidR="009E0D30" w14:paraId="4F84B82E" w14:textId="77777777" w:rsidTr="00CB0430">
        <w:tc>
          <w:tcPr>
            <w:tcW w:w="9679" w:type="dxa"/>
            <w:gridSpan w:val="5"/>
          </w:tcPr>
          <w:p w14:paraId="092AF1A3" w14:textId="77777777" w:rsidR="00A7613F" w:rsidRPr="00986D2F" w:rsidRDefault="004805B7" w:rsidP="00CB0430">
            <w:pPr>
              <w:rPr>
                <w:b/>
                <w:sz w:val="22"/>
                <w:szCs w:val="22"/>
              </w:rPr>
            </w:pPr>
            <w:r w:rsidRPr="00986D2F">
              <w:rPr>
                <w:b/>
                <w:sz w:val="22"/>
                <w:szCs w:val="22"/>
                <w:lang w:val="uk"/>
              </w:rPr>
              <w:t xml:space="preserve">Консультації та участь </w:t>
            </w:r>
          </w:p>
        </w:tc>
      </w:tr>
      <w:tr w:rsidR="009E0D30" w14:paraId="5535E427" w14:textId="77777777" w:rsidTr="00CB0430">
        <w:tc>
          <w:tcPr>
            <w:tcW w:w="1935" w:type="dxa"/>
          </w:tcPr>
          <w:p w14:paraId="319A9EDE" w14:textId="77777777" w:rsidR="00A7613F" w:rsidRPr="00986D2F" w:rsidRDefault="004805B7" w:rsidP="00CB0430">
            <w:pPr>
              <w:rPr>
                <w:sz w:val="22"/>
                <w:szCs w:val="22"/>
              </w:rPr>
            </w:pPr>
            <w:r w:rsidRPr="00986D2F">
              <w:rPr>
                <w:sz w:val="22"/>
                <w:szCs w:val="22"/>
                <w:lang w:val="uk"/>
              </w:rPr>
              <w:t xml:space="preserve">Оприлюдення інформації через соціальні мережі та засоби масової інформації та надання контактної інформації </w:t>
            </w:r>
          </w:p>
        </w:tc>
        <w:tc>
          <w:tcPr>
            <w:tcW w:w="1936" w:type="dxa"/>
          </w:tcPr>
          <w:p w14:paraId="13CD828B" w14:textId="77777777" w:rsidR="00A7613F" w:rsidRPr="004805B7" w:rsidRDefault="004805B7" w:rsidP="00CB0430">
            <w:pPr>
              <w:rPr>
                <w:sz w:val="22"/>
                <w:szCs w:val="22"/>
                <w:lang w:val="uk"/>
              </w:rPr>
            </w:pPr>
            <w:r w:rsidRPr="00986D2F">
              <w:rPr>
                <w:sz w:val="22"/>
                <w:szCs w:val="22"/>
                <w:lang w:val="uk"/>
              </w:rPr>
              <w:t xml:space="preserve">Детальне обговорення дизайну </w:t>
            </w:r>
            <w:r>
              <w:rPr>
                <w:sz w:val="22"/>
                <w:szCs w:val="22"/>
                <w:lang w:val="uk"/>
              </w:rPr>
              <w:t>проєкт</w:t>
            </w:r>
            <w:r w:rsidRPr="00986D2F">
              <w:rPr>
                <w:sz w:val="22"/>
                <w:szCs w:val="22"/>
                <w:lang w:val="uk"/>
              </w:rPr>
              <w:t xml:space="preserve">у та </w:t>
            </w:r>
            <w:proofErr w:type="spellStart"/>
            <w:r>
              <w:rPr>
                <w:sz w:val="22"/>
                <w:szCs w:val="22"/>
                <w:lang w:val="uk"/>
              </w:rPr>
              <w:t>проєкт</w:t>
            </w:r>
            <w:r w:rsidRPr="00986D2F">
              <w:rPr>
                <w:sz w:val="22"/>
                <w:szCs w:val="22"/>
                <w:lang w:val="uk"/>
              </w:rPr>
              <w:t>ної</w:t>
            </w:r>
            <w:proofErr w:type="spellEnd"/>
            <w:r w:rsidRPr="00986D2F">
              <w:rPr>
                <w:sz w:val="22"/>
                <w:szCs w:val="22"/>
                <w:lang w:val="uk"/>
              </w:rPr>
              <w:t xml:space="preserve"> д</w:t>
            </w:r>
            <w:r w:rsidR="00A959D9">
              <w:rPr>
                <w:sz w:val="22"/>
                <w:szCs w:val="22"/>
                <w:lang w:val="uk"/>
              </w:rPr>
              <w:t>іяльності. Інформування</w:t>
            </w:r>
            <w:r w:rsidRPr="00986D2F">
              <w:rPr>
                <w:sz w:val="22"/>
                <w:szCs w:val="22"/>
                <w:lang w:val="uk"/>
              </w:rPr>
              <w:t xml:space="preserve"> зацікавлених сторін</w:t>
            </w:r>
            <w:r w:rsidR="00A959D9">
              <w:rPr>
                <w:sz w:val="22"/>
                <w:szCs w:val="22"/>
                <w:lang w:val="uk"/>
              </w:rPr>
              <w:t xml:space="preserve"> на місцевому рівні</w:t>
            </w:r>
            <w:r w:rsidRPr="00986D2F">
              <w:rPr>
                <w:sz w:val="22"/>
                <w:szCs w:val="22"/>
                <w:lang w:val="uk"/>
              </w:rPr>
              <w:t xml:space="preserve"> (включаючи вразливі групи) про хід реалізації </w:t>
            </w:r>
            <w:r>
              <w:rPr>
                <w:sz w:val="22"/>
                <w:szCs w:val="22"/>
                <w:lang w:val="uk"/>
              </w:rPr>
              <w:t>проєкт</w:t>
            </w:r>
            <w:r w:rsidRPr="00986D2F">
              <w:rPr>
                <w:sz w:val="22"/>
                <w:szCs w:val="22"/>
                <w:lang w:val="uk"/>
              </w:rPr>
              <w:t>у, потенційні екологічні й соціальні ризики і вжиті заходи щодо їх пом'якшення тощо</w:t>
            </w:r>
          </w:p>
        </w:tc>
        <w:tc>
          <w:tcPr>
            <w:tcW w:w="1936" w:type="dxa"/>
          </w:tcPr>
          <w:p w14:paraId="4E15C472" w14:textId="77777777" w:rsidR="00A7613F" w:rsidRPr="004805B7" w:rsidRDefault="004805B7" w:rsidP="00CB0430">
            <w:pPr>
              <w:rPr>
                <w:sz w:val="22"/>
                <w:szCs w:val="22"/>
                <w:lang w:val="ru-RU"/>
              </w:rPr>
            </w:pPr>
            <w:r w:rsidRPr="00986D2F">
              <w:rPr>
                <w:sz w:val="22"/>
                <w:szCs w:val="22"/>
                <w:lang w:val="uk"/>
              </w:rPr>
              <w:t xml:space="preserve">Коротка інформація про заходи та відповіді на запитання аудиторії. </w:t>
            </w:r>
          </w:p>
        </w:tc>
        <w:tc>
          <w:tcPr>
            <w:tcW w:w="1936" w:type="dxa"/>
          </w:tcPr>
          <w:p w14:paraId="341E1ADD" w14:textId="77777777" w:rsidR="00A7613F" w:rsidRPr="004805B7" w:rsidRDefault="004805B7" w:rsidP="00CB0430">
            <w:pPr>
              <w:rPr>
                <w:sz w:val="22"/>
                <w:szCs w:val="22"/>
                <w:lang w:val="ru-RU"/>
              </w:rPr>
            </w:pPr>
            <w:r w:rsidRPr="00986D2F">
              <w:rPr>
                <w:sz w:val="22"/>
                <w:szCs w:val="22"/>
                <w:lang w:val="uk"/>
              </w:rPr>
              <w:t xml:space="preserve">Оголошення про період проведення консультацій з громадськістю, адресні запрошення, завчасне оприлюднення матеріалів. Вільний доступ до консультацій та забезпечення реєстрації пропозицій та скарг протягом періоду розкриття інформації. </w:t>
            </w:r>
          </w:p>
        </w:tc>
        <w:tc>
          <w:tcPr>
            <w:tcW w:w="1936" w:type="dxa"/>
          </w:tcPr>
          <w:p w14:paraId="01F954C6" w14:textId="77777777" w:rsidR="00A7613F" w:rsidRPr="00986D2F" w:rsidRDefault="004805B7" w:rsidP="00CB0430">
            <w:pPr>
              <w:rPr>
                <w:sz w:val="22"/>
                <w:szCs w:val="22"/>
              </w:rPr>
            </w:pPr>
            <w:r>
              <w:rPr>
                <w:sz w:val="22"/>
                <w:szCs w:val="22"/>
                <w:lang w:val="uk"/>
              </w:rPr>
              <w:t>Всі зацікавлені сторони</w:t>
            </w:r>
          </w:p>
        </w:tc>
      </w:tr>
    </w:tbl>
    <w:p w14:paraId="0F7E9D2A" w14:textId="77777777" w:rsidR="00A7613F" w:rsidRDefault="00A7613F" w:rsidP="00A7613F"/>
    <w:p w14:paraId="07601B72" w14:textId="77777777" w:rsidR="00A7613F" w:rsidRDefault="00A7613F" w:rsidP="00A7613F">
      <w:pPr>
        <w:rPr>
          <w:b/>
          <w:sz w:val="22"/>
        </w:rPr>
      </w:pPr>
    </w:p>
    <w:p w14:paraId="0D0986F6" w14:textId="77777777" w:rsidR="00A7613F" w:rsidRDefault="004805B7" w:rsidP="00A7613F">
      <w:r w:rsidRPr="00986D2F">
        <w:rPr>
          <w:b/>
          <w:sz w:val="22"/>
          <w:lang w:val="uk"/>
        </w:rPr>
        <w:t>Механізм розгляду та врегулювання скарг</w:t>
      </w:r>
    </w:p>
    <w:p w14:paraId="418B34BA" w14:textId="77777777" w:rsidR="00A7613F" w:rsidRDefault="00A7613F" w:rsidP="00A7613F">
      <w:pPr>
        <w:spacing w:after="160" w:line="259" w:lineRule="auto"/>
        <w:rPr>
          <w:b/>
          <w:sz w:val="22"/>
        </w:rPr>
      </w:pPr>
    </w:p>
    <w:tbl>
      <w:tblPr>
        <w:tblStyle w:val="a5"/>
        <w:tblW w:w="9445" w:type="dxa"/>
        <w:tblLook w:val="04A0" w:firstRow="1" w:lastRow="0" w:firstColumn="1" w:lastColumn="0" w:noHBand="0" w:noVBand="1"/>
      </w:tblPr>
      <w:tblGrid>
        <w:gridCol w:w="1615"/>
        <w:gridCol w:w="7830"/>
      </w:tblGrid>
      <w:tr w:rsidR="009E0D30" w:rsidRPr="004805B7" w14:paraId="15C7EA73" w14:textId="77777777" w:rsidTr="00CB0430">
        <w:tc>
          <w:tcPr>
            <w:tcW w:w="1615" w:type="dxa"/>
          </w:tcPr>
          <w:p w14:paraId="1472A79A" w14:textId="77777777" w:rsidR="00A7613F" w:rsidRDefault="004805B7" w:rsidP="00CB0430">
            <w:pPr>
              <w:spacing w:after="160" w:line="259" w:lineRule="auto"/>
              <w:rPr>
                <w:b/>
                <w:sz w:val="22"/>
              </w:rPr>
            </w:pPr>
            <w:r>
              <w:rPr>
                <w:b/>
                <w:sz w:val="22"/>
                <w:lang w:val="uk"/>
              </w:rPr>
              <w:t>Мета:</w:t>
            </w:r>
          </w:p>
        </w:tc>
        <w:tc>
          <w:tcPr>
            <w:tcW w:w="7830" w:type="dxa"/>
          </w:tcPr>
          <w:p w14:paraId="0D94853B" w14:textId="77777777" w:rsidR="00A7613F" w:rsidRPr="004805B7" w:rsidRDefault="004805B7" w:rsidP="00CB0430">
            <w:pPr>
              <w:spacing w:line="252" w:lineRule="exact"/>
              <w:jc w:val="both"/>
              <w:rPr>
                <w:sz w:val="22"/>
              </w:rPr>
            </w:pPr>
            <w:r>
              <w:rPr>
                <w:sz w:val="22"/>
                <w:lang w:val="uk"/>
              </w:rPr>
              <w:t>Посилити прозорість та підзвітніс</w:t>
            </w:r>
            <w:r w:rsidR="00725FB3">
              <w:rPr>
                <w:sz w:val="22"/>
                <w:lang w:val="uk"/>
              </w:rPr>
              <w:t xml:space="preserve">ть перед </w:t>
            </w:r>
            <w:proofErr w:type="spellStart"/>
            <w:r w:rsidR="00725FB3">
              <w:rPr>
                <w:sz w:val="22"/>
                <w:lang w:val="uk"/>
              </w:rPr>
              <w:t>бенефіціарами</w:t>
            </w:r>
            <w:proofErr w:type="spellEnd"/>
            <w:r w:rsidR="00725FB3">
              <w:rPr>
                <w:sz w:val="22"/>
                <w:lang w:val="uk"/>
              </w:rPr>
              <w:t xml:space="preserve"> та забезпечити</w:t>
            </w:r>
            <w:r>
              <w:rPr>
                <w:sz w:val="22"/>
                <w:lang w:val="uk"/>
              </w:rPr>
              <w:t xml:space="preserve"> зацікавленим сторонам проєкту канали для надання зворотного зв'язку та/або висловлення претензій, пов'язаних з діяльністю, що підтримується проєктом.</w:t>
            </w:r>
          </w:p>
        </w:tc>
      </w:tr>
      <w:tr w:rsidR="009E0D30" w:rsidRPr="004805B7" w14:paraId="13C2567E" w14:textId="77777777" w:rsidTr="00CB0430">
        <w:tc>
          <w:tcPr>
            <w:tcW w:w="1615" w:type="dxa"/>
          </w:tcPr>
          <w:p w14:paraId="3179F23A" w14:textId="77777777" w:rsidR="00A7613F" w:rsidRDefault="004805B7" w:rsidP="00CB0430">
            <w:pPr>
              <w:spacing w:after="160" w:line="259" w:lineRule="auto"/>
              <w:rPr>
                <w:b/>
                <w:sz w:val="22"/>
              </w:rPr>
            </w:pPr>
            <w:r>
              <w:rPr>
                <w:b/>
                <w:sz w:val="22"/>
                <w:lang w:val="uk"/>
              </w:rPr>
              <w:t>Цілі:</w:t>
            </w:r>
          </w:p>
        </w:tc>
        <w:tc>
          <w:tcPr>
            <w:tcW w:w="7830" w:type="dxa"/>
          </w:tcPr>
          <w:p w14:paraId="2E4E7A9B" w14:textId="77777777" w:rsidR="00A7613F" w:rsidRPr="004805B7" w:rsidRDefault="004805B7" w:rsidP="00CB0430">
            <w:pPr>
              <w:spacing w:line="256" w:lineRule="exact"/>
              <w:jc w:val="both"/>
              <w:rPr>
                <w:sz w:val="22"/>
              </w:rPr>
            </w:pPr>
            <w:r>
              <w:rPr>
                <w:sz w:val="22"/>
                <w:lang w:val="uk"/>
              </w:rPr>
              <w:t xml:space="preserve">Виявлення та вирішення проблем, що впливають на </w:t>
            </w:r>
            <w:proofErr w:type="spellStart"/>
            <w:r>
              <w:rPr>
                <w:sz w:val="22"/>
                <w:lang w:val="uk"/>
              </w:rPr>
              <w:t>проєкт</w:t>
            </w:r>
            <w:proofErr w:type="spellEnd"/>
            <w:r>
              <w:rPr>
                <w:sz w:val="22"/>
                <w:lang w:val="uk"/>
              </w:rPr>
              <w:t>; зменшення ризику ненавмисного впливу проєкту на громадян /</w:t>
            </w:r>
            <w:proofErr w:type="spellStart"/>
            <w:r>
              <w:rPr>
                <w:sz w:val="22"/>
                <w:lang w:val="uk"/>
              </w:rPr>
              <w:t>бенефіціарів</w:t>
            </w:r>
            <w:proofErr w:type="spellEnd"/>
            <w:r>
              <w:rPr>
                <w:sz w:val="22"/>
                <w:lang w:val="uk"/>
              </w:rPr>
              <w:t>; отримання зворотного зв'язку та навчання, щоб допомогти покращити вплив проєкту.</w:t>
            </w:r>
          </w:p>
        </w:tc>
      </w:tr>
      <w:tr w:rsidR="009E0D30" w:rsidRPr="004805B7" w14:paraId="60CB6FF6" w14:textId="77777777" w:rsidTr="00CB0430">
        <w:tc>
          <w:tcPr>
            <w:tcW w:w="1615" w:type="dxa"/>
          </w:tcPr>
          <w:p w14:paraId="217CCC82" w14:textId="77777777" w:rsidR="00A7613F" w:rsidRDefault="004805B7" w:rsidP="00CB0430">
            <w:pPr>
              <w:spacing w:after="160" w:line="259" w:lineRule="auto"/>
              <w:rPr>
                <w:b/>
                <w:sz w:val="22"/>
              </w:rPr>
            </w:pPr>
            <w:r>
              <w:rPr>
                <w:b/>
                <w:sz w:val="22"/>
                <w:lang w:val="uk"/>
              </w:rPr>
              <w:t>Діяльність:</w:t>
            </w:r>
          </w:p>
        </w:tc>
        <w:tc>
          <w:tcPr>
            <w:tcW w:w="7830" w:type="dxa"/>
            <w:vAlign w:val="bottom"/>
          </w:tcPr>
          <w:p w14:paraId="4BBE5B90" w14:textId="77777777" w:rsidR="00A7613F" w:rsidRPr="004805B7" w:rsidRDefault="004805B7" w:rsidP="00CB0430">
            <w:pPr>
              <w:spacing w:line="0" w:lineRule="atLeast"/>
              <w:jc w:val="both"/>
              <w:rPr>
                <w:sz w:val="22"/>
              </w:rPr>
            </w:pPr>
            <w:r>
              <w:rPr>
                <w:sz w:val="22"/>
                <w:lang w:val="uk"/>
              </w:rPr>
              <w:t>Отримувати, реєструвати, оцінювати та розглядати скарги та занепокоєння від сторін, які зазнали впливу проєкту, та громадян</w:t>
            </w:r>
            <w:r w:rsidR="009B4482">
              <w:rPr>
                <w:sz w:val="22"/>
                <w:lang w:val="uk-UA"/>
              </w:rPr>
              <w:t>,</w:t>
            </w:r>
            <w:r w:rsidR="009B4482">
              <w:rPr>
                <w:sz w:val="22"/>
                <w:lang w:val="uk"/>
              </w:rPr>
              <w:t xml:space="preserve"> на рівні проєкту та передавати їх</w:t>
            </w:r>
            <w:r>
              <w:rPr>
                <w:sz w:val="22"/>
                <w:lang w:val="uk"/>
              </w:rPr>
              <w:t xml:space="preserve"> на вищий рівень для врегулювання, за необхідності.</w:t>
            </w:r>
          </w:p>
        </w:tc>
      </w:tr>
      <w:tr w:rsidR="009E0D30" w:rsidRPr="004805B7" w14:paraId="6A9B01BF" w14:textId="77777777" w:rsidTr="00CB0430">
        <w:tc>
          <w:tcPr>
            <w:tcW w:w="1615" w:type="dxa"/>
          </w:tcPr>
          <w:p w14:paraId="77932999" w14:textId="77777777" w:rsidR="00A7613F" w:rsidRDefault="004805B7" w:rsidP="00CB0430">
            <w:pPr>
              <w:spacing w:after="160" w:line="259" w:lineRule="auto"/>
              <w:rPr>
                <w:b/>
                <w:sz w:val="22"/>
              </w:rPr>
            </w:pPr>
            <w:r>
              <w:rPr>
                <w:b/>
                <w:sz w:val="22"/>
                <w:lang w:val="uk"/>
              </w:rPr>
              <w:lastRenderedPageBreak/>
              <w:t>Сфера охоплення:</w:t>
            </w:r>
          </w:p>
        </w:tc>
        <w:tc>
          <w:tcPr>
            <w:tcW w:w="7830" w:type="dxa"/>
            <w:vAlign w:val="bottom"/>
          </w:tcPr>
          <w:p w14:paraId="63AFCEBD" w14:textId="77777777" w:rsidR="00A7613F" w:rsidRPr="004805B7" w:rsidRDefault="004805B7" w:rsidP="00CB0430">
            <w:pPr>
              <w:spacing w:line="256" w:lineRule="exact"/>
              <w:jc w:val="both"/>
              <w:rPr>
                <w:sz w:val="22"/>
              </w:rPr>
            </w:pPr>
            <w:r>
              <w:rPr>
                <w:sz w:val="22"/>
                <w:lang w:val="uk"/>
              </w:rPr>
              <w:t>МРВС буде доступний зацікавлени</w:t>
            </w:r>
            <w:r w:rsidR="009B4482">
              <w:rPr>
                <w:sz w:val="22"/>
                <w:lang w:val="uk"/>
              </w:rPr>
              <w:t xml:space="preserve">м сторонам проєкту (зокрема, </w:t>
            </w:r>
            <w:proofErr w:type="spellStart"/>
            <w:r w:rsidR="009B4482">
              <w:rPr>
                <w:sz w:val="22"/>
                <w:lang w:val="uk"/>
              </w:rPr>
              <w:t>бенефіціарам</w:t>
            </w:r>
            <w:proofErr w:type="spellEnd"/>
            <w:r>
              <w:rPr>
                <w:sz w:val="22"/>
                <w:lang w:val="uk"/>
              </w:rPr>
              <w:t xml:space="preserve"> проєкту та тим, хто зазнав безпосереднього, позитивного чи негативного, впливу проєкту) та іншим зацікавленим сторонам для надсилання запитань, коментарів, пропозицій та/або скарг або надання будь-якої форми зворотного зв'язку щодо всіх заходів, що фінансуються проєктом.</w:t>
            </w:r>
          </w:p>
        </w:tc>
      </w:tr>
      <w:tr w:rsidR="009E0D30" w:rsidRPr="004805B7" w14:paraId="73AD2612" w14:textId="77777777" w:rsidTr="00CB0430">
        <w:tc>
          <w:tcPr>
            <w:tcW w:w="1615" w:type="dxa"/>
          </w:tcPr>
          <w:p w14:paraId="579EFB77" w14:textId="77777777" w:rsidR="00A7613F" w:rsidRDefault="004805B7" w:rsidP="00CB0430">
            <w:pPr>
              <w:spacing w:after="160" w:line="259" w:lineRule="auto"/>
              <w:rPr>
                <w:b/>
                <w:sz w:val="22"/>
              </w:rPr>
            </w:pPr>
            <w:r>
              <w:rPr>
                <w:b/>
                <w:sz w:val="22"/>
                <w:lang w:val="uk"/>
              </w:rPr>
              <w:t>Управління</w:t>
            </w:r>
            <w:r>
              <w:rPr>
                <w:sz w:val="22"/>
                <w:lang w:val="uk"/>
              </w:rPr>
              <w:t>:</w:t>
            </w:r>
          </w:p>
        </w:tc>
        <w:tc>
          <w:tcPr>
            <w:tcW w:w="7830" w:type="dxa"/>
          </w:tcPr>
          <w:p w14:paraId="0921E079" w14:textId="77777777" w:rsidR="00A7613F" w:rsidRPr="004805B7" w:rsidRDefault="004805B7" w:rsidP="00CB0430">
            <w:pPr>
              <w:spacing w:after="160" w:line="259" w:lineRule="auto"/>
              <w:jc w:val="both"/>
              <w:rPr>
                <w:b/>
                <w:sz w:val="22"/>
                <w:lang w:val="ru-RU"/>
              </w:rPr>
            </w:pPr>
            <w:r>
              <w:rPr>
                <w:sz w:val="22"/>
                <w:lang w:val="uk"/>
              </w:rPr>
              <w:t>Управління МРВС здійснюватиме Міністерство охорони здоров'я.</w:t>
            </w:r>
          </w:p>
        </w:tc>
      </w:tr>
      <w:tr w:rsidR="009E0D30" w:rsidRPr="004805B7" w14:paraId="04B1A513" w14:textId="77777777" w:rsidTr="00CB0430">
        <w:tc>
          <w:tcPr>
            <w:tcW w:w="1615" w:type="dxa"/>
          </w:tcPr>
          <w:p w14:paraId="549A6F82" w14:textId="77777777" w:rsidR="00A7613F" w:rsidRDefault="004805B7" w:rsidP="00CB0430">
            <w:pPr>
              <w:spacing w:after="160" w:line="259" w:lineRule="auto"/>
              <w:rPr>
                <w:b/>
                <w:sz w:val="22"/>
              </w:rPr>
            </w:pPr>
            <w:r>
              <w:rPr>
                <w:b/>
                <w:sz w:val="22"/>
                <w:lang w:val="uk"/>
              </w:rPr>
              <w:t>Правова основа:</w:t>
            </w:r>
          </w:p>
        </w:tc>
        <w:tc>
          <w:tcPr>
            <w:tcW w:w="7830" w:type="dxa"/>
            <w:vAlign w:val="bottom"/>
          </w:tcPr>
          <w:p w14:paraId="43B4A884" w14:textId="77777777" w:rsidR="00A7613F" w:rsidRPr="004805B7" w:rsidRDefault="004805B7" w:rsidP="00CB0430">
            <w:pPr>
              <w:spacing w:line="256" w:lineRule="exact"/>
              <w:jc w:val="both"/>
              <w:rPr>
                <w:sz w:val="22"/>
                <w:lang w:val="ru-RU"/>
              </w:rPr>
            </w:pPr>
            <w:r>
              <w:rPr>
                <w:sz w:val="22"/>
                <w:lang w:val="uk"/>
              </w:rPr>
              <w:t>Процедура розгляду звернень, скарг і рекомендац</w:t>
            </w:r>
            <w:r w:rsidR="009B4482">
              <w:rPr>
                <w:sz w:val="22"/>
                <w:lang w:val="uk"/>
              </w:rPr>
              <w:t>ій громадян визначена в Законі «Про звернення громадян» та поправках</w:t>
            </w:r>
            <w:r>
              <w:rPr>
                <w:sz w:val="22"/>
                <w:lang w:val="uk"/>
              </w:rPr>
              <w:t xml:space="preserve"> до нього в частині</w:t>
            </w:r>
            <w:r w:rsidR="009B4482">
              <w:rPr>
                <w:sz w:val="22"/>
                <w:lang w:val="uk"/>
              </w:rPr>
              <w:t xml:space="preserve"> поправок внесених в 2015 році п</w:t>
            </w:r>
            <w:r>
              <w:rPr>
                <w:sz w:val="22"/>
                <w:lang w:val="uk"/>
              </w:rPr>
              <w:t xml:space="preserve">ро електронні петиції. Відповідно до згаданого закону та Статті 40 Конституції, </w:t>
            </w:r>
            <w:proofErr w:type="spellStart"/>
            <w:r>
              <w:rPr>
                <w:sz w:val="22"/>
                <w:lang w:val="uk"/>
              </w:rPr>
              <w:t>Проєкт</w:t>
            </w:r>
            <w:proofErr w:type="spellEnd"/>
            <w:r>
              <w:rPr>
                <w:sz w:val="22"/>
                <w:lang w:val="uk"/>
              </w:rPr>
              <w:t xml:space="preserve"> пропонує наступні канали, за якими всі зацікавлені сторони можуть подавати скарги щодо діяльності, яка фінансується проєктом.</w:t>
            </w:r>
          </w:p>
        </w:tc>
      </w:tr>
    </w:tbl>
    <w:p w14:paraId="2E168A91" w14:textId="77777777" w:rsidR="00A7613F" w:rsidRPr="004805B7" w:rsidRDefault="00A7613F" w:rsidP="00A7613F">
      <w:pPr>
        <w:spacing w:after="160" w:line="259" w:lineRule="auto"/>
        <w:rPr>
          <w:b/>
          <w:sz w:val="22"/>
          <w:lang w:val="ru-RU"/>
        </w:rPr>
      </w:pPr>
    </w:p>
    <w:p w14:paraId="31CEAD26" w14:textId="77777777" w:rsidR="00A7613F" w:rsidRDefault="004805B7" w:rsidP="00A7613F">
      <w:pPr>
        <w:rPr>
          <w:b/>
          <w:sz w:val="22"/>
        </w:rPr>
      </w:pPr>
      <w:r w:rsidRPr="00986D2F">
        <w:rPr>
          <w:b/>
          <w:sz w:val="22"/>
          <w:lang w:val="uk"/>
        </w:rPr>
        <w:t>Процедура розгляду скарг</w:t>
      </w:r>
    </w:p>
    <w:p w14:paraId="60D567CA" w14:textId="77777777" w:rsidR="00A7613F" w:rsidRDefault="00A7613F" w:rsidP="00A7613F"/>
    <w:tbl>
      <w:tblPr>
        <w:tblStyle w:val="a5"/>
        <w:tblW w:w="0" w:type="auto"/>
        <w:tblLook w:val="04A0" w:firstRow="1" w:lastRow="0" w:firstColumn="1" w:lastColumn="0" w:noHBand="0" w:noVBand="1"/>
      </w:tblPr>
      <w:tblGrid>
        <w:gridCol w:w="1615"/>
        <w:gridCol w:w="7835"/>
      </w:tblGrid>
      <w:tr w:rsidR="009E0D30" w:rsidRPr="009B4482" w14:paraId="2B7D436A" w14:textId="77777777" w:rsidTr="00CB0430">
        <w:tc>
          <w:tcPr>
            <w:tcW w:w="1615" w:type="dxa"/>
          </w:tcPr>
          <w:p w14:paraId="75FB9A2E" w14:textId="77777777" w:rsidR="00A7613F" w:rsidRDefault="004805B7" w:rsidP="00CB0430">
            <w:pPr>
              <w:spacing w:after="160" w:line="259" w:lineRule="auto"/>
              <w:rPr>
                <w:b/>
                <w:sz w:val="22"/>
              </w:rPr>
            </w:pPr>
            <w:r>
              <w:rPr>
                <w:b/>
                <w:sz w:val="22"/>
                <w:lang w:val="uk"/>
              </w:rPr>
              <w:t>Поширення</w:t>
            </w:r>
            <w:r w:rsidR="009B4482">
              <w:rPr>
                <w:b/>
                <w:sz w:val="22"/>
                <w:lang w:val="uk"/>
              </w:rPr>
              <w:t xml:space="preserve"> інформації про</w:t>
            </w:r>
            <w:r>
              <w:rPr>
                <w:b/>
                <w:sz w:val="22"/>
                <w:lang w:val="uk"/>
              </w:rPr>
              <w:t xml:space="preserve"> МРВС</w:t>
            </w:r>
          </w:p>
        </w:tc>
        <w:tc>
          <w:tcPr>
            <w:tcW w:w="7835" w:type="dxa"/>
          </w:tcPr>
          <w:p w14:paraId="5056C2D5" w14:textId="77777777" w:rsidR="00A7613F" w:rsidRPr="009B4482" w:rsidRDefault="009B4482" w:rsidP="009B4482">
            <w:pPr>
              <w:spacing w:line="256" w:lineRule="exact"/>
              <w:rPr>
                <w:sz w:val="22"/>
                <w:lang w:val="ru-RU"/>
              </w:rPr>
            </w:pPr>
            <w:r>
              <w:rPr>
                <w:sz w:val="22"/>
                <w:lang w:val="uk"/>
              </w:rPr>
              <w:t xml:space="preserve">Інформація </w:t>
            </w:r>
            <w:r w:rsidR="004805B7">
              <w:rPr>
                <w:sz w:val="22"/>
                <w:lang w:val="uk"/>
              </w:rPr>
              <w:t>включена в ПЗЗС і доступна на вебсайті Міністерс</w:t>
            </w:r>
            <w:r>
              <w:rPr>
                <w:sz w:val="22"/>
                <w:lang w:val="uk"/>
              </w:rPr>
              <w:t>тва охорони здоров'я, поширюється під час спілкування</w:t>
            </w:r>
            <w:r w:rsidR="004805B7">
              <w:rPr>
                <w:sz w:val="22"/>
                <w:lang w:val="uk"/>
              </w:rPr>
              <w:t xml:space="preserve"> із зацікавленими сторонами.</w:t>
            </w:r>
          </w:p>
        </w:tc>
      </w:tr>
      <w:tr w:rsidR="009E0D30" w:rsidRPr="009B4482" w14:paraId="0F188B08" w14:textId="77777777" w:rsidTr="00CB0430">
        <w:tc>
          <w:tcPr>
            <w:tcW w:w="1615" w:type="dxa"/>
          </w:tcPr>
          <w:p w14:paraId="7F9011C5" w14:textId="77777777" w:rsidR="00A7613F" w:rsidRDefault="004805B7" w:rsidP="00CB0430">
            <w:pPr>
              <w:spacing w:after="160" w:line="259" w:lineRule="auto"/>
              <w:rPr>
                <w:b/>
                <w:sz w:val="22"/>
              </w:rPr>
            </w:pPr>
            <w:r>
              <w:rPr>
                <w:b/>
                <w:sz w:val="22"/>
                <w:lang w:val="uk"/>
              </w:rPr>
              <w:t>Канали подання скарг</w:t>
            </w:r>
          </w:p>
        </w:tc>
        <w:tc>
          <w:tcPr>
            <w:tcW w:w="7835" w:type="dxa"/>
            <w:vAlign w:val="bottom"/>
          </w:tcPr>
          <w:p w14:paraId="5506B1B8" w14:textId="77777777" w:rsidR="00A7613F" w:rsidRPr="004805B7" w:rsidRDefault="004805B7" w:rsidP="00CB0430">
            <w:pPr>
              <w:spacing w:line="0" w:lineRule="atLeast"/>
              <w:rPr>
                <w:sz w:val="22"/>
                <w:lang w:val="ru-RU"/>
              </w:rPr>
            </w:pPr>
            <w:r w:rsidRPr="002E555D">
              <w:rPr>
                <w:sz w:val="22"/>
                <w:lang w:val="uk"/>
              </w:rPr>
              <w:t>a.</w:t>
            </w:r>
            <w:r w:rsidRPr="002E555D">
              <w:rPr>
                <w:sz w:val="22"/>
                <w:lang w:val="uk"/>
              </w:rPr>
              <w:tab/>
              <w:t>За номером гарячої лінії Міністерства охорони здоров'я: 0-800-60-2019</w:t>
            </w:r>
          </w:p>
          <w:p w14:paraId="7CDCC31F" w14:textId="77777777" w:rsidR="00A7613F" w:rsidRPr="004805B7" w:rsidRDefault="004805B7" w:rsidP="00CB0430">
            <w:pPr>
              <w:spacing w:line="0" w:lineRule="atLeast"/>
              <w:rPr>
                <w:sz w:val="22"/>
                <w:lang w:val="ru-RU"/>
              </w:rPr>
            </w:pPr>
            <w:r w:rsidRPr="002E555D">
              <w:rPr>
                <w:sz w:val="22"/>
                <w:lang w:val="uk"/>
              </w:rPr>
              <w:t>б.</w:t>
            </w:r>
            <w:r w:rsidRPr="002E555D">
              <w:rPr>
                <w:sz w:val="22"/>
                <w:lang w:val="uk"/>
              </w:rPr>
              <w:tab/>
              <w:t>Електронною поштою: moz@moz.gov.ua ; zurab.m.moz@gmail.com</w:t>
            </w:r>
          </w:p>
          <w:p w14:paraId="3C366FF4" w14:textId="77777777" w:rsidR="00A7613F" w:rsidRPr="004805B7" w:rsidRDefault="004805B7" w:rsidP="00CB0430">
            <w:pPr>
              <w:spacing w:line="0" w:lineRule="atLeast"/>
              <w:rPr>
                <w:sz w:val="22"/>
                <w:lang w:val="ru-RU"/>
              </w:rPr>
            </w:pPr>
            <w:r w:rsidRPr="002E555D">
              <w:rPr>
                <w:sz w:val="22"/>
                <w:lang w:val="uk"/>
              </w:rPr>
              <w:t>в.</w:t>
            </w:r>
            <w:r w:rsidRPr="002E555D">
              <w:rPr>
                <w:sz w:val="22"/>
                <w:lang w:val="uk"/>
              </w:rPr>
              <w:tab/>
              <w:t xml:space="preserve">Через наступну веб-сторінку: wb.moz.gov.ua </w:t>
            </w:r>
          </w:p>
          <w:p w14:paraId="0F71A881" w14:textId="77777777" w:rsidR="00A7613F" w:rsidRPr="004805B7" w:rsidRDefault="004805B7" w:rsidP="00CB0430">
            <w:pPr>
              <w:spacing w:line="0" w:lineRule="atLeast"/>
              <w:rPr>
                <w:sz w:val="22"/>
                <w:lang w:val="ru-RU"/>
              </w:rPr>
            </w:pPr>
            <w:r w:rsidRPr="002E555D">
              <w:rPr>
                <w:sz w:val="22"/>
                <w:lang w:val="uk"/>
              </w:rPr>
              <w:t>г.</w:t>
            </w:r>
            <w:r w:rsidRPr="002E555D">
              <w:rPr>
                <w:sz w:val="22"/>
                <w:lang w:val="uk"/>
              </w:rPr>
              <w:tab/>
              <w:t>У письмовому вигляді до Міністерства охорони здоров'я</w:t>
            </w:r>
          </w:p>
          <w:p w14:paraId="165A0D92" w14:textId="77777777" w:rsidR="00A7613F" w:rsidRPr="004805B7" w:rsidRDefault="004805B7" w:rsidP="00CB0430">
            <w:pPr>
              <w:spacing w:line="0" w:lineRule="atLeast"/>
              <w:rPr>
                <w:sz w:val="22"/>
                <w:lang w:val="ru-RU"/>
              </w:rPr>
            </w:pPr>
            <w:r w:rsidRPr="002E555D">
              <w:rPr>
                <w:sz w:val="22"/>
                <w:lang w:val="uk"/>
              </w:rPr>
              <w:t>ґ.</w:t>
            </w:r>
            <w:r w:rsidRPr="002E555D">
              <w:rPr>
                <w:sz w:val="22"/>
                <w:lang w:val="uk"/>
              </w:rPr>
              <w:tab/>
              <w:t>Особисто: за вищевказаними адресами або за адресами установ, яким МОЗ делегувало відповідні повноваження</w:t>
            </w:r>
          </w:p>
          <w:p w14:paraId="17C75011" w14:textId="77777777" w:rsidR="00A7613F" w:rsidRPr="004805B7" w:rsidRDefault="004805B7" w:rsidP="00CB0430">
            <w:pPr>
              <w:spacing w:line="0" w:lineRule="atLeast"/>
              <w:rPr>
                <w:sz w:val="22"/>
                <w:lang w:val="ru-RU"/>
              </w:rPr>
            </w:pPr>
            <w:r w:rsidRPr="002E555D">
              <w:rPr>
                <w:sz w:val="22"/>
                <w:lang w:val="uk"/>
              </w:rPr>
              <w:t>д.</w:t>
            </w:r>
            <w:r w:rsidRPr="002E555D">
              <w:rPr>
                <w:sz w:val="22"/>
                <w:lang w:val="uk"/>
              </w:rPr>
              <w:tab/>
              <w:t>Скринька для скарг в медичних установах із зазначенням контактної інформації для зворотного зв'язку (повне ім'я, контактний номер теле</w:t>
            </w:r>
            <w:r w:rsidR="009B4482">
              <w:rPr>
                <w:sz w:val="22"/>
                <w:lang w:val="uk"/>
              </w:rPr>
              <w:t>фону, адреса електронної пошти)</w:t>
            </w:r>
          </w:p>
          <w:p w14:paraId="54574E3A" w14:textId="77777777" w:rsidR="00A7613F" w:rsidRPr="004805B7" w:rsidRDefault="004805B7" w:rsidP="00CB0430">
            <w:pPr>
              <w:spacing w:line="239" w:lineRule="exact"/>
              <w:rPr>
                <w:sz w:val="22"/>
                <w:lang w:val="ru-RU"/>
              </w:rPr>
            </w:pPr>
            <w:r w:rsidRPr="002E555D">
              <w:rPr>
                <w:sz w:val="22"/>
                <w:lang w:val="uk"/>
              </w:rPr>
              <w:t>е.</w:t>
            </w:r>
            <w:r w:rsidRPr="002E555D">
              <w:rPr>
                <w:sz w:val="22"/>
                <w:lang w:val="uk"/>
              </w:rPr>
              <w:tab/>
              <w:t xml:space="preserve">Інше: письмові скарги співробітникам </w:t>
            </w:r>
            <w:r>
              <w:rPr>
                <w:sz w:val="22"/>
                <w:lang w:val="uk"/>
              </w:rPr>
              <w:t>проєкт</w:t>
            </w:r>
            <w:r w:rsidRPr="002E555D">
              <w:rPr>
                <w:sz w:val="22"/>
                <w:lang w:val="uk"/>
              </w:rPr>
              <w:t xml:space="preserve">у (під час зустрічей в рамках </w:t>
            </w:r>
            <w:r>
              <w:rPr>
                <w:sz w:val="22"/>
                <w:lang w:val="uk"/>
              </w:rPr>
              <w:t>проєкт</w:t>
            </w:r>
            <w:r w:rsidRPr="002E555D">
              <w:rPr>
                <w:sz w:val="22"/>
                <w:lang w:val="uk"/>
              </w:rPr>
              <w:t>у)</w:t>
            </w:r>
          </w:p>
          <w:p w14:paraId="3460EDCC" w14:textId="77777777" w:rsidR="00A7613F" w:rsidRPr="004805B7" w:rsidRDefault="00A7613F" w:rsidP="00CB0430">
            <w:pPr>
              <w:spacing w:line="239" w:lineRule="exact"/>
              <w:rPr>
                <w:sz w:val="22"/>
                <w:lang w:val="ru-RU"/>
              </w:rPr>
            </w:pPr>
          </w:p>
          <w:p w14:paraId="058F8614" w14:textId="77777777" w:rsidR="00A7613F" w:rsidRPr="009B4482" w:rsidRDefault="004805B7" w:rsidP="009B4482">
            <w:pPr>
              <w:spacing w:line="239" w:lineRule="exact"/>
              <w:rPr>
                <w:sz w:val="22"/>
                <w:lang w:val="uk"/>
              </w:rPr>
            </w:pPr>
            <w:r>
              <w:rPr>
                <w:sz w:val="22"/>
                <w:lang w:val="uk"/>
              </w:rPr>
              <w:t>Анонімні скарги: можуть бути подані без зазначення персональних даних. Анонімні</w:t>
            </w:r>
            <w:r w:rsidR="009B4482">
              <w:rPr>
                <w:sz w:val="22"/>
                <w:lang w:val="uk"/>
              </w:rPr>
              <w:t xml:space="preserve"> </w:t>
            </w:r>
            <w:r w:rsidR="009B4482">
              <w:rPr>
                <w:w w:val="99"/>
                <w:sz w:val="22"/>
                <w:lang w:val="uk"/>
              </w:rPr>
              <w:t>скарги будуть розглянуті</w:t>
            </w:r>
            <w:r>
              <w:rPr>
                <w:w w:val="99"/>
                <w:sz w:val="22"/>
                <w:lang w:val="uk"/>
              </w:rPr>
              <w:t>, але сторона, яка подала ск</w:t>
            </w:r>
            <w:r w:rsidR="009B4482">
              <w:rPr>
                <w:w w:val="99"/>
                <w:sz w:val="22"/>
                <w:lang w:val="uk"/>
              </w:rPr>
              <w:t>аргу, повинна самостійно зв’язатися</w:t>
            </w:r>
            <w:r>
              <w:rPr>
                <w:w w:val="99"/>
                <w:sz w:val="22"/>
                <w:lang w:val="uk"/>
              </w:rPr>
              <w:t xml:space="preserve"> з Міністерством охорони здоров'я, щоб отрим</w:t>
            </w:r>
            <w:r w:rsidR="009B4482">
              <w:rPr>
                <w:w w:val="99"/>
                <w:sz w:val="22"/>
                <w:lang w:val="uk"/>
              </w:rPr>
              <w:t>ати відповідь щодо розгляду</w:t>
            </w:r>
            <w:r>
              <w:rPr>
                <w:w w:val="99"/>
                <w:sz w:val="22"/>
                <w:lang w:val="uk"/>
              </w:rPr>
              <w:t xml:space="preserve"> скарги.</w:t>
            </w:r>
          </w:p>
          <w:p w14:paraId="6E174E02" w14:textId="77777777" w:rsidR="00A7613F" w:rsidRPr="009B4482" w:rsidRDefault="004805B7" w:rsidP="009B4482">
            <w:pPr>
              <w:spacing w:line="239" w:lineRule="exact"/>
              <w:rPr>
                <w:sz w:val="22"/>
                <w:lang w:val="ru-RU"/>
              </w:rPr>
            </w:pPr>
            <w:r>
              <w:rPr>
                <w:sz w:val="22"/>
                <w:lang w:val="uk"/>
              </w:rPr>
              <w:t xml:space="preserve">Конфіденційність буде забезпечуватися у всіх </w:t>
            </w:r>
            <w:r w:rsidR="009B4482">
              <w:rPr>
                <w:sz w:val="22"/>
                <w:lang w:val="uk"/>
              </w:rPr>
              <w:t>випадках, зокрема коли особа розкриває свої персональні дані при поданні скарги</w:t>
            </w:r>
            <w:r>
              <w:rPr>
                <w:sz w:val="22"/>
                <w:lang w:val="uk"/>
              </w:rPr>
              <w:t>.</w:t>
            </w:r>
          </w:p>
        </w:tc>
      </w:tr>
      <w:tr w:rsidR="009E0D30" w:rsidRPr="00F4207F" w14:paraId="3DB48276" w14:textId="77777777" w:rsidTr="00CB0430">
        <w:tc>
          <w:tcPr>
            <w:tcW w:w="1615" w:type="dxa"/>
          </w:tcPr>
          <w:p w14:paraId="3B9A5F63" w14:textId="77777777" w:rsidR="00A7613F" w:rsidRDefault="004805B7" w:rsidP="00CB0430">
            <w:pPr>
              <w:spacing w:after="160" w:line="259" w:lineRule="auto"/>
              <w:rPr>
                <w:b/>
                <w:sz w:val="22"/>
              </w:rPr>
            </w:pPr>
            <w:r>
              <w:rPr>
                <w:b/>
                <w:sz w:val="22"/>
                <w:lang w:val="uk"/>
              </w:rPr>
              <w:t>Отримання</w:t>
            </w:r>
          </w:p>
        </w:tc>
        <w:tc>
          <w:tcPr>
            <w:tcW w:w="7835" w:type="dxa"/>
            <w:vAlign w:val="bottom"/>
          </w:tcPr>
          <w:p w14:paraId="2C4A3C9F" w14:textId="77777777" w:rsidR="00A7613F" w:rsidRPr="004805B7" w:rsidRDefault="00F4207F" w:rsidP="00CB0430">
            <w:pPr>
              <w:spacing w:line="256" w:lineRule="exact"/>
              <w:jc w:val="both"/>
              <w:rPr>
                <w:sz w:val="22"/>
                <w:lang w:val="ru-RU"/>
              </w:rPr>
            </w:pPr>
            <w:r>
              <w:rPr>
                <w:sz w:val="22"/>
                <w:lang w:val="uk"/>
              </w:rPr>
              <w:t>Відправляється</w:t>
            </w:r>
            <w:r w:rsidR="004805B7">
              <w:rPr>
                <w:sz w:val="22"/>
                <w:lang w:val="uk"/>
              </w:rPr>
              <w:t xml:space="preserve"> до спеціального координаційного центру МРВС в Міністерстві охорони здоров'я.</w:t>
            </w:r>
          </w:p>
          <w:p w14:paraId="37046991" w14:textId="77777777" w:rsidR="00A7613F" w:rsidRPr="004805B7" w:rsidRDefault="004805B7" w:rsidP="00CB0430">
            <w:pPr>
              <w:spacing w:line="0" w:lineRule="atLeast"/>
              <w:jc w:val="both"/>
              <w:rPr>
                <w:sz w:val="22"/>
                <w:lang w:val="ru-RU"/>
              </w:rPr>
            </w:pPr>
            <w:r>
              <w:rPr>
                <w:sz w:val="22"/>
                <w:lang w:val="uk"/>
              </w:rPr>
              <w:t>Скарга негайно вводиться в систему відстеження для сортування та перенаправлення до відповідного відділу/персоналу, відповідального за розслідування та розгляд скарги.</w:t>
            </w:r>
          </w:p>
          <w:p w14:paraId="3F52B64B" w14:textId="77777777" w:rsidR="00A7613F" w:rsidRPr="004805B7" w:rsidRDefault="004805B7" w:rsidP="00CB0430">
            <w:pPr>
              <w:spacing w:line="0" w:lineRule="atLeast"/>
              <w:jc w:val="both"/>
              <w:rPr>
                <w:sz w:val="22"/>
                <w:lang w:val="ru-RU"/>
              </w:rPr>
            </w:pPr>
            <w:r>
              <w:rPr>
                <w:sz w:val="22"/>
                <w:lang w:val="uk"/>
              </w:rPr>
              <w:t>Координатор проєкту несе відповідальність за визначення того, кому направити скаргу,</w:t>
            </w:r>
            <w:r w:rsidR="00F4207F">
              <w:rPr>
                <w:sz w:val="22"/>
                <w:lang w:val="ru-RU"/>
              </w:rPr>
              <w:t xml:space="preserve"> </w:t>
            </w:r>
            <w:r>
              <w:rPr>
                <w:sz w:val="22"/>
                <w:lang w:val="uk"/>
              </w:rPr>
              <w:t>чи потребує скарга розслідування (чи ні) і часові рамки надання відповіді</w:t>
            </w:r>
          </w:p>
          <w:p w14:paraId="6328342F" w14:textId="77777777" w:rsidR="00A7613F" w:rsidRPr="004805B7" w:rsidRDefault="004805B7" w:rsidP="00CB0430">
            <w:pPr>
              <w:spacing w:line="0" w:lineRule="atLeast"/>
              <w:jc w:val="both"/>
              <w:rPr>
                <w:sz w:val="22"/>
                <w:lang w:val="ru-RU"/>
              </w:rPr>
            </w:pPr>
            <w:r>
              <w:rPr>
                <w:sz w:val="22"/>
                <w:lang w:val="uk"/>
              </w:rPr>
              <w:t>щодо неї.</w:t>
            </w:r>
          </w:p>
          <w:p w14:paraId="1866E038" w14:textId="77777777" w:rsidR="00A7613F" w:rsidRPr="00F4207F" w:rsidRDefault="004805B7" w:rsidP="00F4207F">
            <w:pPr>
              <w:spacing w:line="0" w:lineRule="atLeast"/>
              <w:jc w:val="both"/>
              <w:rPr>
                <w:sz w:val="22"/>
                <w:lang w:val="ru-RU"/>
              </w:rPr>
            </w:pPr>
            <w:r>
              <w:rPr>
                <w:sz w:val="22"/>
                <w:lang w:val="uk"/>
              </w:rPr>
              <w:t>Координатор проєкту повинен переконатися у відсутності конфлікту інтересів, тобто всі</w:t>
            </w:r>
            <w:r w:rsidR="00F4207F">
              <w:rPr>
                <w:sz w:val="22"/>
                <w:lang w:val="ru-RU"/>
              </w:rPr>
              <w:t xml:space="preserve"> </w:t>
            </w:r>
            <w:r>
              <w:rPr>
                <w:sz w:val="22"/>
                <w:lang w:val="uk"/>
              </w:rPr>
              <w:t>особи, які беруть участь в процесі розслідування, не повинні мати жо</w:t>
            </w:r>
            <w:r w:rsidR="00F4207F">
              <w:rPr>
                <w:sz w:val="22"/>
                <w:lang w:val="uk"/>
              </w:rPr>
              <w:t>дного матеріального, особистого</w:t>
            </w:r>
            <w:r w:rsidR="00F4207F">
              <w:rPr>
                <w:sz w:val="22"/>
                <w:lang w:val="ru-RU"/>
              </w:rPr>
              <w:t xml:space="preserve"> </w:t>
            </w:r>
            <w:r w:rsidR="00F4207F">
              <w:rPr>
                <w:sz w:val="22"/>
                <w:lang w:val="uk"/>
              </w:rPr>
              <w:t>або професійного інтересу щодо результату розслідування та</w:t>
            </w:r>
            <w:r>
              <w:rPr>
                <w:sz w:val="22"/>
                <w:lang w:val="uk"/>
              </w:rPr>
              <w:t xml:space="preserve"> особистого чи професійного зв'язку</w:t>
            </w:r>
            <w:r w:rsidR="00F4207F">
              <w:rPr>
                <w:sz w:val="22"/>
                <w:lang w:val="ru-RU"/>
              </w:rPr>
              <w:t xml:space="preserve"> </w:t>
            </w:r>
            <w:r>
              <w:rPr>
                <w:sz w:val="22"/>
                <w:lang w:val="uk"/>
              </w:rPr>
              <w:t>з заявниками або свідками.</w:t>
            </w:r>
          </w:p>
        </w:tc>
      </w:tr>
      <w:tr w:rsidR="009E0D30" w:rsidRPr="004805B7" w14:paraId="316CD18F" w14:textId="77777777" w:rsidTr="00CB0430">
        <w:tc>
          <w:tcPr>
            <w:tcW w:w="1615" w:type="dxa"/>
          </w:tcPr>
          <w:p w14:paraId="50FDB299" w14:textId="77777777" w:rsidR="00A7613F" w:rsidRDefault="00F4207F" w:rsidP="00CB0430">
            <w:pPr>
              <w:spacing w:after="160" w:line="259" w:lineRule="auto"/>
              <w:rPr>
                <w:b/>
                <w:sz w:val="22"/>
              </w:rPr>
            </w:pPr>
            <w:r>
              <w:rPr>
                <w:b/>
                <w:sz w:val="22"/>
                <w:lang w:val="uk"/>
              </w:rPr>
              <w:lastRenderedPageBreak/>
              <w:t>Реєстрація</w:t>
            </w:r>
          </w:p>
        </w:tc>
        <w:tc>
          <w:tcPr>
            <w:tcW w:w="7835" w:type="dxa"/>
            <w:vAlign w:val="bottom"/>
          </w:tcPr>
          <w:p w14:paraId="2FB9673B" w14:textId="77777777" w:rsidR="00A7613F" w:rsidRPr="004805B7" w:rsidRDefault="00F4207F" w:rsidP="00CB0430">
            <w:pPr>
              <w:spacing w:line="253" w:lineRule="exact"/>
              <w:jc w:val="both"/>
              <w:rPr>
                <w:sz w:val="22"/>
                <w:lang w:val="ru-RU"/>
              </w:rPr>
            </w:pPr>
            <w:r>
              <w:rPr>
                <w:sz w:val="22"/>
                <w:lang w:val="uk"/>
              </w:rPr>
              <w:t>Після запровадження процесу розслідування</w:t>
            </w:r>
            <w:r w:rsidR="004805B7">
              <w:rPr>
                <w:sz w:val="22"/>
                <w:lang w:val="uk"/>
              </w:rPr>
              <w:t>, особа, відповідальна за</w:t>
            </w:r>
          </w:p>
          <w:p w14:paraId="76BA1F7E" w14:textId="77777777" w:rsidR="00A7613F" w:rsidRPr="004805B7" w:rsidRDefault="00F4207F" w:rsidP="00CB0430">
            <w:pPr>
              <w:spacing w:line="0" w:lineRule="atLeast"/>
              <w:jc w:val="both"/>
              <w:rPr>
                <w:sz w:val="22"/>
                <w:lang w:val="ru-RU"/>
              </w:rPr>
            </w:pPr>
            <w:r>
              <w:rPr>
                <w:sz w:val="22"/>
                <w:lang w:val="uk"/>
              </w:rPr>
              <w:t>управління МРВС реєструє</w:t>
            </w:r>
            <w:r w:rsidR="004805B7">
              <w:rPr>
                <w:sz w:val="22"/>
                <w:lang w:val="uk"/>
              </w:rPr>
              <w:t xml:space="preserve"> та вводить ці дані в журнал МРВС.</w:t>
            </w:r>
          </w:p>
          <w:p w14:paraId="5D57158A" w14:textId="77777777" w:rsidR="00A7613F" w:rsidRPr="004805B7" w:rsidRDefault="004805B7" w:rsidP="00CB0430">
            <w:pPr>
              <w:spacing w:line="0" w:lineRule="atLeast"/>
              <w:jc w:val="both"/>
              <w:rPr>
                <w:sz w:val="22"/>
                <w:lang w:val="ru-RU"/>
              </w:rPr>
            </w:pPr>
            <w:r>
              <w:rPr>
                <w:sz w:val="22"/>
                <w:lang w:val="uk"/>
              </w:rPr>
              <w:t>Кількість і тип пропозицій і питань також повинні бути зафіксовані і</w:t>
            </w:r>
          </w:p>
          <w:p w14:paraId="70E23735" w14:textId="77777777" w:rsidR="00A7613F" w:rsidRPr="004805B7" w:rsidRDefault="004805B7" w:rsidP="00CB0430">
            <w:pPr>
              <w:spacing w:after="160" w:line="259" w:lineRule="auto"/>
              <w:jc w:val="both"/>
              <w:rPr>
                <w:b/>
                <w:sz w:val="22"/>
                <w:lang w:val="ru-RU"/>
              </w:rPr>
            </w:pPr>
            <w:r>
              <w:rPr>
                <w:sz w:val="22"/>
                <w:lang w:val="uk"/>
              </w:rPr>
              <w:t>повідомлені, щоб їх можна було проаналізувати для поліпшення комунікацій в рамках проєкту.</w:t>
            </w:r>
          </w:p>
        </w:tc>
      </w:tr>
      <w:tr w:rsidR="009E0D30" w14:paraId="42F667C0" w14:textId="77777777" w:rsidTr="00CB0430">
        <w:tc>
          <w:tcPr>
            <w:tcW w:w="1615" w:type="dxa"/>
          </w:tcPr>
          <w:p w14:paraId="36B0249B" w14:textId="77777777" w:rsidR="00A7613F" w:rsidRDefault="004805B7" w:rsidP="00CB0430">
            <w:pPr>
              <w:spacing w:after="160" w:line="259" w:lineRule="auto"/>
              <w:rPr>
                <w:b/>
                <w:sz w:val="22"/>
              </w:rPr>
            </w:pPr>
            <w:r>
              <w:rPr>
                <w:b/>
                <w:sz w:val="22"/>
                <w:lang w:val="uk"/>
              </w:rPr>
              <w:t>Розслідування</w:t>
            </w:r>
          </w:p>
        </w:tc>
        <w:tc>
          <w:tcPr>
            <w:tcW w:w="7835" w:type="dxa"/>
          </w:tcPr>
          <w:p w14:paraId="1E7916FE" w14:textId="77777777" w:rsidR="00A7613F" w:rsidRDefault="004805B7" w:rsidP="00CB0430">
            <w:pPr>
              <w:spacing w:line="256" w:lineRule="exact"/>
              <w:rPr>
                <w:sz w:val="22"/>
              </w:rPr>
            </w:pPr>
            <w:r>
              <w:rPr>
                <w:sz w:val="22"/>
                <w:lang w:val="uk"/>
              </w:rPr>
              <w:t>Звернення, які не потребу</w:t>
            </w:r>
            <w:r w:rsidR="00F4207F">
              <w:rPr>
                <w:sz w:val="22"/>
                <w:lang w:val="uk"/>
              </w:rPr>
              <w:t xml:space="preserve">ють додаткової оцінки – </w:t>
            </w:r>
            <w:r>
              <w:rPr>
                <w:sz w:val="22"/>
                <w:lang w:val="uk"/>
              </w:rPr>
              <w:t>відповіді</w:t>
            </w:r>
            <w:r w:rsidR="00F4207F">
              <w:rPr>
                <w:sz w:val="22"/>
                <w:lang w:val="uk"/>
              </w:rPr>
              <w:t xml:space="preserve"> надаються</w:t>
            </w:r>
            <w:r>
              <w:rPr>
                <w:sz w:val="22"/>
                <w:lang w:val="uk"/>
              </w:rPr>
              <w:t xml:space="preserve"> негайно і не пізніше, ніж через 15 днів після отримання.</w:t>
            </w:r>
          </w:p>
          <w:p w14:paraId="2673C918" w14:textId="77777777" w:rsidR="00A7613F" w:rsidRPr="00512FB4" w:rsidRDefault="004805B7" w:rsidP="00CB0430">
            <w:pPr>
              <w:spacing w:line="0" w:lineRule="atLeast"/>
              <w:rPr>
                <w:sz w:val="22"/>
              </w:rPr>
            </w:pPr>
            <w:r>
              <w:rPr>
                <w:sz w:val="22"/>
                <w:lang w:val="uk"/>
              </w:rPr>
              <w:t>Звернення, що потребують додаткової оцінки, розглядаються і врегульовуються не пізніше ні</w:t>
            </w:r>
            <w:r w:rsidR="00F4207F">
              <w:rPr>
                <w:sz w:val="22"/>
                <w:lang w:val="uk"/>
              </w:rPr>
              <w:t>ж через місяць після отримання</w:t>
            </w:r>
            <w:r>
              <w:rPr>
                <w:sz w:val="22"/>
                <w:lang w:val="uk"/>
              </w:rPr>
              <w:t xml:space="preserve"> (Стаття 20 </w:t>
            </w:r>
            <w:r w:rsidR="00F4207F">
              <w:rPr>
                <w:i/>
                <w:sz w:val="22"/>
                <w:lang w:val="uk"/>
              </w:rPr>
              <w:t>Закону України «Про звернення громадян»</w:t>
            </w:r>
            <w:r>
              <w:rPr>
                <w:i/>
                <w:sz w:val="22"/>
                <w:lang w:val="uk"/>
              </w:rPr>
              <w:t>).</w:t>
            </w:r>
          </w:p>
        </w:tc>
      </w:tr>
      <w:tr w:rsidR="009E0D30" w:rsidRPr="004805B7" w14:paraId="54AA810D" w14:textId="77777777" w:rsidTr="00CB0430">
        <w:tc>
          <w:tcPr>
            <w:tcW w:w="1615" w:type="dxa"/>
          </w:tcPr>
          <w:p w14:paraId="01F6F5EA" w14:textId="77777777" w:rsidR="00A7613F" w:rsidRDefault="004805B7" w:rsidP="00CB0430">
            <w:pPr>
              <w:spacing w:after="160" w:line="259" w:lineRule="auto"/>
              <w:rPr>
                <w:b/>
                <w:sz w:val="22"/>
              </w:rPr>
            </w:pPr>
            <w:r>
              <w:rPr>
                <w:b/>
                <w:sz w:val="22"/>
                <w:lang w:val="uk"/>
              </w:rPr>
              <w:t>Оцінка</w:t>
            </w:r>
          </w:p>
        </w:tc>
        <w:tc>
          <w:tcPr>
            <w:tcW w:w="7835" w:type="dxa"/>
          </w:tcPr>
          <w:p w14:paraId="7A44B838" w14:textId="77777777" w:rsidR="00A7613F" w:rsidRPr="004805B7" w:rsidRDefault="004805B7" w:rsidP="00CB0430">
            <w:pPr>
              <w:spacing w:line="256" w:lineRule="exact"/>
              <w:rPr>
                <w:sz w:val="22"/>
                <w:lang w:val="ru-RU"/>
              </w:rPr>
            </w:pPr>
            <w:r>
              <w:rPr>
                <w:sz w:val="22"/>
                <w:lang w:val="uk"/>
              </w:rPr>
              <w:t>Особа, відповідальна за розслідування скарги, збиратиме факти, щоб отримати чітке розуміння обставин, пов'язаних зі скаргою. Розслідування / подальші заходи можуть включати відвідування об'єкту, розгляд документів та зустріч з тими, хто міг би вирішити проблему. Результати розслідування і запропонована відповідь заявнику будуть представлені на розгляд Координатору проєкту, який прийме рішення щодо подальших дій.</w:t>
            </w:r>
          </w:p>
          <w:p w14:paraId="395C2E9D" w14:textId="77777777" w:rsidR="00A7613F" w:rsidRPr="004805B7" w:rsidRDefault="004805B7" w:rsidP="00CB0430">
            <w:pPr>
              <w:spacing w:line="0" w:lineRule="atLeast"/>
              <w:jc w:val="both"/>
              <w:rPr>
                <w:w w:val="99"/>
                <w:sz w:val="22"/>
                <w:lang w:val="ru-RU"/>
              </w:rPr>
            </w:pPr>
            <w:r>
              <w:rPr>
                <w:w w:val="99"/>
                <w:sz w:val="22"/>
                <w:lang w:val="uk"/>
              </w:rPr>
              <w:t>Кінцевий термін розслідування може бути продовжений Координатором проєкту на 30 робочих днів, а заявник проінформований про цей факт, якщо:</w:t>
            </w:r>
          </w:p>
          <w:p w14:paraId="20750797" w14:textId="77777777" w:rsidR="00A7613F" w:rsidRPr="004805B7" w:rsidRDefault="004805B7" w:rsidP="00CB0430">
            <w:pPr>
              <w:spacing w:line="0" w:lineRule="atLeast"/>
              <w:ind w:left="460"/>
              <w:jc w:val="both"/>
              <w:rPr>
                <w:sz w:val="22"/>
                <w:lang w:val="ru-RU"/>
              </w:rPr>
            </w:pPr>
            <w:r>
              <w:rPr>
                <w:sz w:val="22"/>
                <w:lang w:val="uk"/>
              </w:rPr>
              <w:t>а) необхідні додаткові консультації для надання відповіді на скаргу;</w:t>
            </w:r>
          </w:p>
          <w:p w14:paraId="44B0FB6E" w14:textId="77777777" w:rsidR="00A7613F" w:rsidRPr="004805B7" w:rsidRDefault="004805B7" w:rsidP="00CB0430">
            <w:pPr>
              <w:spacing w:line="0" w:lineRule="atLeast"/>
              <w:ind w:left="460"/>
              <w:jc w:val="both"/>
              <w:rPr>
                <w:sz w:val="22"/>
                <w:lang w:val="ru-RU"/>
              </w:rPr>
            </w:pPr>
            <w:r>
              <w:rPr>
                <w:sz w:val="22"/>
                <w:lang w:val="uk"/>
              </w:rPr>
              <w:t>б)</w:t>
            </w:r>
            <w:r w:rsidR="00F4207F">
              <w:rPr>
                <w:sz w:val="22"/>
                <w:lang w:val="uk"/>
              </w:rPr>
              <w:t xml:space="preserve"> скарга стосується значного</w:t>
            </w:r>
            <w:r>
              <w:rPr>
                <w:sz w:val="22"/>
                <w:lang w:val="uk"/>
              </w:rPr>
              <w:t xml:space="preserve"> обсягу</w:t>
            </w:r>
            <w:r w:rsidR="00F4207F">
              <w:rPr>
                <w:sz w:val="22"/>
                <w:lang w:val="uk"/>
              </w:rPr>
              <w:t xml:space="preserve"> комплексної</w:t>
            </w:r>
            <w:r>
              <w:rPr>
                <w:sz w:val="22"/>
                <w:lang w:val="uk"/>
              </w:rPr>
              <w:t xml:space="preserve"> інформації, і для відповіді необхідно вивчити додаткові матеріали. </w:t>
            </w:r>
          </w:p>
        </w:tc>
      </w:tr>
      <w:tr w:rsidR="009E0D30" w:rsidRPr="004805B7" w14:paraId="21515178" w14:textId="77777777" w:rsidTr="00CB0430">
        <w:tc>
          <w:tcPr>
            <w:tcW w:w="1615" w:type="dxa"/>
          </w:tcPr>
          <w:p w14:paraId="2C25C49D" w14:textId="77777777" w:rsidR="00A7613F" w:rsidRPr="004805B7" w:rsidRDefault="00F4207F" w:rsidP="00F4207F">
            <w:pPr>
              <w:spacing w:after="160" w:line="259" w:lineRule="auto"/>
              <w:rPr>
                <w:b/>
                <w:sz w:val="22"/>
                <w:lang w:val="ru-RU"/>
              </w:rPr>
            </w:pPr>
            <w:r>
              <w:rPr>
                <w:b/>
                <w:sz w:val="22"/>
                <w:lang w:val="uk"/>
              </w:rPr>
              <w:t>Розгляд скарг щодо сексуальної експлуатації та насильства/ сексуальних домагань (</w:t>
            </w:r>
            <w:r w:rsidR="004805B7">
              <w:rPr>
                <w:b/>
                <w:sz w:val="22"/>
                <w:lang w:val="uk"/>
              </w:rPr>
              <w:t>СЕН/СД</w:t>
            </w:r>
            <w:r>
              <w:rPr>
                <w:b/>
                <w:sz w:val="22"/>
                <w:lang w:val="uk"/>
              </w:rPr>
              <w:t>)</w:t>
            </w:r>
          </w:p>
        </w:tc>
        <w:tc>
          <w:tcPr>
            <w:tcW w:w="7835" w:type="dxa"/>
          </w:tcPr>
          <w:p w14:paraId="3FF47C4C" w14:textId="77777777" w:rsidR="00A7613F" w:rsidRPr="004805B7" w:rsidRDefault="004805B7" w:rsidP="00CB0430">
            <w:pPr>
              <w:spacing w:line="256" w:lineRule="exact"/>
              <w:jc w:val="both"/>
              <w:rPr>
                <w:sz w:val="22"/>
                <w:lang w:val="ru-RU"/>
              </w:rPr>
            </w:pPr>
            <w:r>
              <w:rPr>
                <w:sz w:val="22"/>
                <w:lang w:val="uk"/>
              </w:rPr>
              <w:t>З</w:t>
            </w:r>
            <w:r w:rsidR="00F4207F">
              <w:rPr>
                <w:sz w:val="22"/>
                <w:lang w:val="uk"/>
              </w:rPr>
              <w:t>абезпечення</w:t>
            </w:r>
            <w:r>
              <w:rPr>
                <w:sz w:val="22"/>
                <w:lang w:val="uk"/>
              </w:rPr>
              <w:t xml:space="preserve"> (i) спрямування постраждалих для отримання допомоги (медичної, юридичної, психосоціальної допомоги, забез</w:t>
            </w:r>
            <w:r w:rsidR="00F4207F">
              <w:rPr>
                <w:sz w:val="22"/>
                <w:lang w:val="uk"/>
              </w:rPr>
              <w:t>печення безпеки та іншої</w:t>
            </w:r>
            <w:r>
              <w:rPr>
                <w:sz w:val="22"/>
                <w:lang w:val="uk"/>
              </w:rPr>
              <w:t xml:space="preserve"> допомога) на основі згоди, потреб і побажань п</w:t>
            </w:r>
            <w:r w:rsidR="00F4207F">
              <w:rPr>
                <w:sz w:val="22"/>
                <w:lang w:val="uk"/>
              </w:rPr>
              <w:t>остраждалих; (ii) повідомлення</w:t>
            </w:r>
            <w:r>
              <w:rPr>
                <w:sz w:val="22"/>
                <w:lang w:val="uk"/>
              </w:rPr>
              <w:t xml:space="preserve"> національних правоохоронних органів (на основі згоди постраждалих, якщо повідомлення правоохоронними органами не є обов'язковим в Україні). На відміну від інших типів проблемних питань, в рамках механізмів розгляду та врегулювання скарг щодо СЕН/СД не проводять розслідування, не роблять жодних заяв і не оцінюють достовірність звинувачень; та (iii) визначення ймовірності того, що звинувачення щодо СЕН/СД мають віднош</w:t>
            </w:r>
            <w:r w:rsidR="00F4207F">
              <w:rPr>
                <w:sz w:val="22"/>
                <w:lang w:val="uk"/>
              </w:rPr>
              <w:t>ення до Проєкту. Якщо інцидент щодо</w:t>
            </w:r>
            <w:r>
              <w:rPr>
                <w:sz w:val="22"/>
                <w:lang w:val="uk"/>
              </w:rPr>
              <w:t xml:space="preserve"> СЕН/СД підтвердиться, очікується, що робото</w:t>
            </w:r>
            <w:r w:rsidR="00F4207F">
              <w:rPr>
                <w:sz w:val="22"/>
                <w:lang w:val="uk"/>
              </w:rPr>
              <w:t xml:space="preserve">давець застосує заходи впливу </w:t>
            </w:r>
            <w:r>
              <w:rPr>
                <w:sz w:val="22"/>
                <w:lang w:val="uk"/>
              </w:rPr>
              <w:t>до винного. Висновок у справі про СЕН/СД використовується для оцінки загальної ефективності превентивних заходів щодо СЕН/СД, вжитих Міністерством охорони здоров'я.</w:t>
            </w:r>
          </w:p>
        </w:tc>
      </w:tr>
      <w:tr w:rsidR="009E0D30" w:rsidRPr="004805B7" w14:paraId="4CD4088B" w14:textId="77777777" w:rsidTr="00CB0430">
        <w:tc>
          <w:tcPr>
            <w:tcW w:w="1615" w:type="dxa"/>
          </w:tcPr>
          <w:p w14:paraId="47AF249C" w14:textId="77777777" w:rsidR="00A7613F" w:rsidRDefault="004805B7" w:rsidP="00CB0430">
            <w:pPr>
              <w:spacing w:after="160" w:line="259" w:lineRule="auto"/>
              <w:rPr>
                <w:b/>
                <w:sz w:val="22"/>
              </w:rPr>
            </w:pPr>
            <w:r>
              <w:rPr>
                <w:b/>
                <w:sz w:val="22"/>
                <w:lang w:val="uk"/>
              </w:rPr>
              <w:t>Передання на вищий рівень</w:t>
            </w:r>
          </w:p>
        </w:tc>
        <w:tc>
          <w:tcPr>
            <w:tcW w:w="7835" w:type="dxa"/>
          </w:tcPr>
          <w:p w14:paraId="251C6178" w14:textId="77777777" w:rsidR="00A7613F" w:rsidRPr="004805B7" w:rsidRDefault="004805B7" w:rsidP="00341690">
            <w:pPr>
              <w:spacing w:line="256" w:lineRule="exact"/>
              <w:jc w:val="both"/>
              <w:rPr>
                <w:sz w:val="22"/>
                <w:lang w:val="ru-RU"/>
              </w:rPr>
            </w:pPr>
            <w:r>
              <w:rPr>
                <w:sz w:val="22"/>
                <w:lang w:val="uk"/>
              </w:rPr>
              <w:t>Звернення, які не можуть бути врегульовані протягом одного місяця, передаються керівнику або заступнику керівника організації для визначення необхідного часу для їх розгляду і повідомлення про це</w:t>
            </w:r>
            <w:r w:rsidR="00341690">
              <w:rPr>
                <w:sz w:val="22"/>
                <w:lang w:val="ru-RU"/>
              </w:rPr>
              <w:t xml:space="preserve"> </w:t>
            </w:r>
            <w:r>
              <w:rPr>
                <w:sz w:val="22"/>
                <w:lang w:val="uk"/>
              </w:rPr>
              <w:t>особи,</w:t>
            </w:r>
            <w:r w:rsidR="00341690">
              <w:rPr>
                <w:sz w:val="22"/>
                <w:lang w:val="uk"/>
              </w:rPr>
              <w:t xml:space="preserve"> яка подала звернення (повний</w:t>
            </w:r>
            <w:r>
              <w:rPr>
                <w:sz w:val="22"/>
                <w:lang w:val="uk"/>
              </w:rPr>
              <w:t xml:space="preserve"> термін для вирішення питань, порушених у зверненні, не може перевищувати сорока п'яти днів).</w:t>
            </w:r>
          </w:p>
        </w:tc>
      </w:tr>
      <w:tr w:rsidR="009E0D30" w:rsidRPr="004805B7" w14:paraId="2F55D77C" w14:textId="77777777" w:rsidTr="00CB0430">
        <w:tc>
          <w:tcPr>
            <w:tcW w:w="1615" w:type="dxa"/>
          </w:tcPr>
          <w:p w14:paraId="7D588F10" w14:textId="77777777" w:rsidR="00A7613F" w:rsidRDefault="004805B7" w:rsidP="00CB0430">
            <w:pPr>
              <w:spacing w:after="160" w:line="259" w:lineRule="auto"/>
              <w:rPr>
                <w:b/>
                <w:sz w:val="22"/>
              </w:rPr>
            </w:pPr>
            <w:r>
              <w:rPr>
                <w:b/>
                <w:sz w:val="22"/>
                <w:lang w:val="uk"/>
              </w:rPr>
              <w:t>Відповідь заявнику</w:t>
            </w:r>
          </w:p>
        </w:tc>
        <w:tc>
          <w:tcPr>
            <w:tcW w:w="7835" w:type="dxa"/>
          </w:tcPr>
          <w:p w14:paraId="49755F75" w14:textId="77777777" w:rsidR="00A7613F" w:rsidRPr="004805B7" w:rsidRDefault="004805B7" w:rsidP="00CB0430">
            <w:pPr>
              <w:spacing w:line="256" w:lineRule="exact"/>
              <w:jc w:val="both"/>
              <w:rPr>
                <w:sz w:val="22"/>
                <w:lang w:val="ru-RU"/>
              </w:rPr>
            </w:pPr>
            <w:r>
              <w:rPr>
                <w:sz w:val="22"/>
                <w:lang w:val="uk"/>
              </w:rPr>
              <w:t>Заявник буде проінформований про результати перевірки листом або електронною поштою, залежно від каналу отримання звернення. Відповідь повинна ґрунтуватися на матеріалах розслідування і, якщо</w:t>
            </w:r>
          </w:p>
          <w:p w14:paraId="36DBF514" w14:textId="77777777" w:rsidR="00A7613F" w:rsidRPr="004805B7" w:rsidRDefault="004805B7" w:rsidP="00CB0430">
            <w:pPr>
              <w:spacing w:line="256" w:lineRule="exact"/>
              <w:jc w:val="both"/>
              <w:rPr>
                <w:sz w:val="22"/>
                <w:lang w:val="ru-RU"/>
              </w:rPr>
            </w:pPr>
            <w:r>
              <w:rPr>
                <w:sz w:val="22"/>
                <w:lang w:val="uk"/>
              </w:rPr>
              <w:t>доречно, повинна містити посилання на національне законодавство.</w:t>
            </w:r>
          </w:p>
        </w:tc>
      </w:tr>
      <w:tr w:rsidR="009E0D30" w14:paraId="6A119F07" w14:textId="77777777" w:rsidTr="00CB0430">
        <w:tc>
          <w:tcPr>
            <w:tcW w:w="1615" w:type="dxa"/>
          </w:tcPr>
          <w:p w14:paraId="0B387403" w14:textId="77777777" w:rsidR="00A7613F" w:rsidRDefault="004805B7" w:rsidP="00CB0430">
            <w:pPr>
              <w:spacing w:after="160" w:line="259" w:lineRule="auto"/>
              <w:rPr>
                <w:b/>
                <w:sz w:val="22"/>
              </w:rPr>
            </w:pPr>
            <w:r>
              <w:rPr>
                <w:b/>
                <w:sz w:val="22"/>
                <w:lang w:val="uk"/>
              </w:rPr>
              <w:t>Моніторинг та звітність</w:t>
            </w:r>
          </w:p>
        </w:tc>
        <w:tc>
          <w:tcPr>
            <w:tcW w:w="7835" w:type="dxa"/>
            <w:vAlign w:val="bottom"/>
          </w:tcPr>
          <w:p w14:paraId="0FC740E7" w14:textId="77777777" w:rsidR="00A7613F" w:rsidRDefault="004805B7" w:rsidP="00341690">
            <w:pPr>
              <w:spacing w:line="256" w:lineRule="exact"/>
              <w:jc w:val="both"/>
              <w:rPr>
                <w:sz w:val="22"/>
              </w:rPr>
            </w:pPr>
            <w:r>
              <w:rPr>
                <w:sz w:val="22"/>
                <w:lang w:val="uk"/>
              </w:rPr>
              <w:t>Координатор проєкту надаватиме щомісячний / щоквартальний огляд результатів МРВС, включаючи будь-які пропозиції та запитання, команді та керівництву проєкту, а також переглядатиме</w:t>
            </w:r>
            <w:r w:rsidR="00341690" w:rsidRPr="00341690">
              <w:rPr>
                <w:sz w:val="22"/>
              </w:rPr>
              <w:t xml:space="preserve"> </w:t>
            </w:r>
            <w:r>
              <w:rPr>
                <w:sz w:val="22"/>
                <w:lang w:val="uk"/>
              </w:rPr>
              <w:t>ста</w:t>
            </w:r>
            <w:r w:rsidR="00341690">
              <w:rPr>
                <w:sz w:val="22"/>
                <w:lang w:val="uk"/>
              </w:rPr>
              <w:t>тус скарг для відстеження ще не</w:t>
            </w:r>
            <w:r>
              <w:rPr>
                <w:sz w:val="22"/>
                <w:lang w:val="uk"/>
              </w:rPr>
              <w:t>врегульованих скарг, і пропонування будь-яких необхідних</w:t>
            </w:r>
            <w:r w:rsidR="00341690">
              <w:rPr>
                <w:sz w:val="22"/>
                <w:lang w:val="uk-UA"/>
              </w:rPr>
              <w:t xml:space="preserve"> </w:t>
            </w:r>
            <w:r w:rsidR="00341690">
              <w:rPr>
                <w:sz w:val="22"/>
                <w:lang w:val="uk"/>
              </w:rPr>
              <w:t>заходів</w:t>
            </w:r>
            <w:r>
              <w:rPr>
                <w:sz w:val="22"/>
                <w:lang w:val="uk"/>
              </w:rPr>
              <w:t xml:space="preserve"> щодо виправлення ситуації.</w:t>
            </w:r>
          </w:p>
        </w:tc>
      </w:tr>
      <w:tr w:rsidR="009E0D30" w:rsidRPr="004805B7" w14:paraId="28360A7D" w14:textId="77777777" w:rsidTr="00CB0430">
        <w:tc>
          <w:tcPr>
            <w:tcW w:w="1615" w:type="dxa"/>
          </w:tcPr>
          <w:p w14:paraId="410EC9D4" w14:textId="77777777" w:rsidR="00A7613F" w:rsidRPr="004805B7" w:rsidRDefault="004805B7" w:rsidP="00CB0430">
            <w:pPr>
              <w:spacing w:after="160" w:line="259" w:lineRule="auto"/>
              <w:rPr>
                <w:b/>
                <w:sz w:val="22"/>
                <w:lang w:val="ru-RU"/>
              </w:rPr>
            </w:pPr>
            <w:r>
              <w:rPr>
                <w:b/>
                <w:sz w:val="22"/>
                <w:lang w:val="uk"/>
              </w:rPr>
              <w:lastRenderedPageBreak/>
              <w:t>Звіти про хід виконання, надані Світовому банку</w:t>
            </w:r>
          </w:p>
        </w:tc>
        <w:tc>
          <w:tcPr>
            <w:tcW w:w="7835" w:type="dxa"/>
            <w:vAlign w:val="bottom"/>
          </w:tcPr>
          <w:p w14:paraId="6F618E46" w14:textId="77777777" w:rsidR="00A7613F" w:rsidRPr="004805B7" w:rsidRDefault="004805B7" w:rsidP="00CB0430">
            <w:pPr>
              <w:spacing w:line="253" w:lineRule="exact"/>
              <w:ind w:left="100"/>
              <w:rPr>
                <w:sz w:val="22"/>
                <w:lang w:val="ru-RU"/>
              </w:rPr>
            </w:pPr>
            <w:r>
              <w:rPr>
                <w:sz w:val="22"/>
                <w:lang w:val="uk"/>
              </w:rPr>
              <w:t>У піврічних звітах про реалізацію проєкту, що подаються Банку, МОЗ буде</w:t>
            </w:r>
          </w:p>
          <w:p w14:paraId="0C9BFF7B" w14:textId="77777777" w:rsidR="00A7613F" w:rsidRPr="004805B7" w:rsidRDefault="004805B7" w:rsidP="00CB0430">
            <w:pPr>
              <w:spacing w:line="0" w:lineRule="atLeast"/>
              <w:ind w:left="100"/>
              <w:rPr>
                <w:sz w:val="22"/>
                <w:lang w:val="ru-RU"/>
              </w:rPr>
            </w:pPr>
            <w:r>
              <w:rPr>
                <w:sz w:val="22"/>
                <w:lang w:val="uk"/>
              </w:rPr>
              <w:t>надавати інформацію про наступне:</w:t>
            </w:r>
          </w:p>
          <w:p w14:paraId="57A4C276" w14:textId="77777777" w:rsidR="00A7613F" w:rsidRPr="004805B7" w:rsidRDefault="004805B7" w:rsidP="00CB0430">
            <w:pPr>
              <w:spacing w:line="0" w:lineRule="atLeast"/>
              <w:ind w:left="100"/>
              <w:rPr>
                <w:sz w:val="22"/>
                <w:lang w:val="ru-RU"/>
              </w:rPr>
            </w:pPr>
            <w:r>
              <w:rPr>
                <w:rFonts w:ascii="Arial" w:eastAsia="Arial" w:hAnsi="Arial"/>
                <w:sz w:val="22"/>
                <w:lang w:val="uk"/>
              </w:rPr>
              <w:t>•</w:t>
            </w:r>
            <w:r>
              <w:rPr>
                <w:sz w:val="22"/>
                <w:lang w:val="uk"/>
              </w:rPr>
              <w:t xml:space="preserve"> Статус створення </w:t>
            </w:r>
            <w:r w:rsidR="00341690">
              <w:rPr>
                <w:sz w:val="22"/>
                <w:lang w:val="uk"/>
              </w:rPr>
              <w:t>МРВС (процедури, штатний розпис</w:t>
            </w:r>
            <w:r>
              <w:rPr>
                <w:sz w:val="22"/>
                <w:lang w:val="uk"/>
              </w:rPr>
              <w:t>, підвищення обізнаності тощо);</w:t>
            </w:r>
          </w:p>
          <w:p w14:paraId="66C50C38" w14:textId="77777777" w:rsidR="00A7613F" w:rsidRPr="004805B7" w:rsidRDefault="004805B7" w:rsidP="00CB0430">
            <w:pPr>
              <w:spacing w:line="0" w:lineRule="atLeast"/>
              <w:ind w:left="100"/>
              <w:rPr>
                <w:sz w:val="22"/>
                <w:lang w:val="ru-RU"/>
              </w:rPr>
            </w:pPr>
            <w:r>
              <w:rPr>
                <w:rFonts w:ascii="Arial" w:eastAsia="Arial" w:hAnsi="Arial"/>
                <w:sz w:val="22"/>
                <w:lang w:val="uk"/>
              </w:rPr>
              <w:t>•</w:t>
            </w:r>
            <w:r>
              <w:rPr>
                <w:sz w:val="22"/>
                <w:lang w:val="uk"/>
              </w:rPr>
              <w:t xml:space="preserve"> Кількісні дані про кількість отриманих скарг, кількість скарг що мають відношення до проєкту і кількість врегульованих скарг;</w:t>
            </w:r>
          </w:p>
          <w:p w14:paraId="3072BB01" w14:textId="77777777" w:rsidR="00A7613F" w:rsidRPr="004805B7" w:rsidRDefault="004805B7" w:rsidP="00CB0430">
            <w:pPr>
              <w:spacing w:line="0" w:lineRule="atLeast"/>
              <w:ind w:left="100"/>
              <w:rPr>
                <w:sz w:val="22"/>
                <w:lang w:val="ru-RU"/>
              </w:rPr>
            </w:pPr>
            <w:r>
              <w:rPr>
                <w:rFonts w:ascii="Arial" w:eastAsia="Arial" w:hAnsi="Arial"/>
                <w:sz w:val="22"/>
                <w:lang w:val="uk"/>
              </w:rPr>
              <w:t>•</w:t>
            </w:r>
            <w:r>
              <w:rPr>
                <w:sz w:val="22"/>
                <w:lang w:val="uk"/>
              </w:rPr>
              <w:t xml:space="preserve"> Якісні дані про тип скарг і надані відповіді, неврегульовані питання;</w:t>
            </w:r>
          </w:p>
          <w:p w14:paraId="3C7CD61A" w14:textId="77777777" w:rsidR="00A7613F" w:rsidRPr="004805B7" w:rsidRDefault="004805B7" w:rsidP="00CB0430">
            <w:pPr>
              <w:spacing w:line="0" w:lineRule="atLeast"/>
              <w:ind w:left="100"/>
              <w:rPr>
                <w:sz w:val="22"/>
                <w:lang w:val="ru-RU"/>
              </w:rPr>
            </w:pPr>
            <w:r>
              <w:rPr>
                <w:rFonts w:ascii="Arial" w:eastAsia="Arial" w:hAnsi="Arial"/>
                <w:sz w:val="22"/>
                <w:lang w:val="uk"/>
              </w:rPr>
              <w:t>•</w:t>
            </w:r>
            <w:r>
              <w:rPr>
                <w:sz w:val="22"/>
                <w:lang w:val="uk"/>
              </w:rPr>
              <w:t xml:space="preserve"> Час, витрачений на врегулювання скарг;</w:t>
            </w:r>
          </w:p>
          <w:p w14:paraId="1C2E7AE4" w14:textId="77777777" w:rsidR="00A7613F" w:rsidRPr="004805B7" w:rsidRDefault="004805B7" w:rsidP="00CB0430">
            <w:pPr>
              <w:spacing w:line="0" w:lineRule="atLeast"/>
              <w:ind w:left="100"/>
              <w:rPr>
                <w:sz w:val="22"/>
                <w:lang w:val="ru-RU"/>
              </w:rPr>
            </w:pPr>
            <w:r>
              <w:rPr>
                <w:rFonts w:ascii="Arial" w:eastAsia="Arial" w:hAnsi="Arial"/>
                <w:sz w:val="22"/>
                <w:lang w:val="uk"/>
              </w:rPr>
              <w:t>•</w:t>
            </w:r>
            <w:r>
              <w:rPr>
                <w:sz w:val="22"/>
                <w:lang w:val="uk"/>
              </w:rPr>
              <w:t xml:space="preserve"> Кількість скарг, врегульованих на найнижчому рівні, переданих на більш високі рівні;</w:t>
            </w:r>
          </w:p>
          <w:p w14:paraId="3E2D2F55" w14:textId="77777777" w:rsidR="00A7613F" w:rsidRPr="004805B7" w:rsidRDefault="004805B7" w:rsidP="00CB0430">
            <w:pPr>
              <w:spacing w:line="0" w:lineRule="atLeast"/>
              <w:ind w:left="100"/>
              <w:rPr>
                <w:sz w:val="22"/>
                <w:lang w:val="ru-RU"/>
              </w:rPr>
            </w:pPr>
            <w:r>
              <w:rPr>
                <w:rFonts w:ascii="Arial" w:eastAsia="Arial" w:hAnsi="Arial"/>
                <w:sz w:val="22"/>
                <w:lang w:val="uk"/>
              </w:rPr>
              <w:t>•</w:t>
            </w:r>
            <w:r>
              <w:rPr>
                <w:sz w:val="22"/>
                <w:lang w:val="uk"/>
              </w:rPr>
              <w:t xml:space="preserve"> Будь-які конкретні проблеми щодо процедур / персоналу або використання механізму;</w:t>
            </w:r>
          </w:p>
          <w:p w14:paraId="667D93B0" w14:textId="77777777" w:rsidR="00A7613F" w:rsidRPr="004805B7" w:rsidRDefault="004805B7" w:rsidP="00CB0430">
            <w:pPr>
              <w:spacing w:line="0" w:lineRule="atLeast"/>
              <w:ind w:left="100"/>
              <w:rPr>
                <w:sz w:val="22"/>
                <w:lang w:val="ru-RU"/>
              </w:rPr>
            </w:pPr>
            <w:r>
              <w:rPr>
                <w:rFonts w:ascii="Arial" w:eastAsia="Arial" w:hAnsi="Arial"/>
                <w:sz w:val="22"/>
                <w:lang w:val="uk"/>
              </w:rPr>
              <w:t>•</w:t>
            </w:r>
            <w:r>
              <w:rPr>
                <w:sz w:val="22"/>
                <w:lang w:val="uk"/>
              </w:rPr>
              <w:t xml:space="preserve"> Фактори, які можуть вплинути на використання системи МРВС / зворотного зав'язку </w:t>
            </w:r>
            <w:proofErr w:type="spellStart"/>
            <w:r>
              <w:rPr>
                <w:sz w:val="22"/>
                <w:lang w:val="uk"/>
              </w:rPr>
              <w:t>бенефіціарів</w:t>
            </w:r>
            <w:proofErr w:type="spellEnd"/>
            <w:r>
              <w:rPr>
                <w:sz w:val="22"/>
                <w:lang w:val="uk"/>
              </w:rPr>
              <w:t>;</w:t>
            </w:r>
          </w:p>
          <w:p w14:paraId="7A97AF89" w14:textId="77777777" w:rsidR="00A7613F" w:rsidRPr="004805B7" w:rsidRDefault="004805B7" w:rsidP="00CB0430">
            <w:pPr>
              <w:spacing w:line="256" w:lineRule="exact"/>
              <w:rPr>
                <w:sz w:val="22"/>
                <w:lang w:val="ru-RU"/>
              </w:rPr>
            </w:pPr>
            <w:r>
              <w:rPr>
                <w:rFonts w:ascii="Arial" w:eastAsia="Arial" w:hAnsi="Arial"/>
                <w:sz w:val="22"/>
                <w:lang w:val="uk"/>
              </w:rPr>
              <w:t>•</w:t>
            </w:r>
            <w:r>
              <w:rPr>
                <w:sz w:val="22"/>
                <w:lang w:val="uk"/>
              </w:rPr>
              <w:t xml:space="preserve"> Будь-які вжиті заходи впливу.</w:t>
            </w:r>
          </w:p>
        </w:tc>
      </w:tr>
      <w:tr w:rsidR="009E0D30" w:rsidRPr="004805B7" w14:paraId="643AC7BE" w14:textId="77777777" w:rsidTr="00CB0430">
        <w:tc>
          <w:tcPr>
            <w:tcW w:w="1615" w:type="dxa"/>
          </w:tcPr>
          <w:p w14:paraId="3C3D30A8" w14:textId="77777777" w:rsidR="00A7613F" w:rsidRPr="004805B7" w:rsidRDefault="004805B7" w:rsidP="00CB0430">
            <w:pPr>
              <w:spacing w:after="160" w:line="259" w:lineRule="auto"/>
              <w:rPr>
                <w:b/>
                <w:sz w:val="22"/>
                <w:lang w:val="ru-RU"/>
              </w:rPr>
            </w:pPr>
            <w:r>
              <w:rPr>
                <w:b/>
                <w:sz w:val="22"/>
                <w:lang w:val="uk"/>
              </w:rPr>
              <w:t>Направлення до МРВС Світового банку</w:t>
            </w:r>
          </w:p>
        </w:tc>
        <w:tc>
          <w:tcPr>
            <w:tcW w:w="7835" w:type="dxa"/>
            <w:vAlign w:val="bottom"/>
          </w:tcPr>
          <w:p w14:paraId="12806F4E" w14:textId="77777777" w:rsidR="00A7613F" w:rsidRPr="004805B7" w:rsidRDefault="004805B7" w:rsidP="00341690">
            <w:pPr>
              <w:spacing w:line="256" w:lineRule="exact"/>
              <w:rPr>
                <w:sz w:val="22"/>
                <w:lang w:val="ru-RU"/>
              </w:rPr>
            </w:pPr>
            <w:r>
              <w:rPr>
                <w:sz w:val="22"/>
                <w:lang w:val="uk"/>
              </w:rPr>
              <w:t>Громади та окремі особи, які вважають, що вони зазнали не</w:t>
            </w:r>
            <w:r w:rsidR="00341690">
              <w:rPr>
                <w:sz w:val="22"/>
                <w:lang w:val="uk"/>
              </w:rPr>
              <w:t xml:space="preserve">гативного впливу від діяльності </w:t>
            </w:r>
            <w:r>
              <w:rPr>
                <w:sz w:val="22"/>
                <w:lang w:val="uk"/>
              </w:rPr>
              <w:t>проєкт</w:t>
            </w:r>
            <w:r w:rsidR="00341690">
              <w:rPr>
                <w:sz w:val="22"/>
                <w:lang w:val="uk"/>
              </w:rPr>
              <w:t>у, який підтримується СБ, можуть</w:t>
            </w:r>
            <w:r>
              <w:rPr>
                <w:sz w:val="22"/>
                <w:lang w:val="uk"/>
              </w:rPr>
              <w:t xml:space="preserve"> подавати скарги до вищеназваного МРВС на рівні проєкту або до Служби розгляду скарг Світового банку (GRS). GRS гарантує, що отримані скарги оперативно розглядаються для вирішення проблем, пов'язаних з проєктом. Громади та особи, які зазнали вп</w:t>
            </w:r>
            <w:r w:rsidR="00341690">
              <w:rPr>
                <w:sz w:val="22"/>
                <w:lang w:val="uk"/>
              </w:rPr>
              <w:t>ливу проєкту, можуть подати свої скарги</w:t>
            </w:r>
            <w:r>
              <w:rPr>
                <w:sz w:val="22"/>
                <w:lang w:val="uk"/>
              </w:rPr>
              <w:t xml:space="preserve"> до Незалежної інспекційної комісії Світового банку, яка визначає, чи була спричинена чи могла бути спричинена шкода внаслідок недотримання Світовим банком своїх політики та процедур. Скарги можуть бути подані в будь-який час після того, як проблеми були доведені безпосередньо до відома Світового банку, і керівництву Банку була надана можливість відреагувати. Для отримання інформації про те, як подавати скарги до корпоративної Служби розгляду скарг Світового банку (GRS), будь ласка, відвідайте: http://www.worldbank.org/en/projects-operations/products-and-services/grievance-redress-service .</w:t>
            </w:r>
          </w:p>
        </w:tc>
      </w:tr>
    </w:tbl>
    <w:p w14:paraId="3E0DBE02" w14:textId="77777777" w:rsidR="00A7613F" w:rsidRPr="004805B7" w:rsidRDefault="00A7613F" w:rsidP="00A7613F">
      <w:pPr>
        <w:jc w:val="both"/>
        <w:rPr>
          <w:rFonts w:cs="Calibri"/>
          <w:sz w:val="22"/>
          <w:szCs w:val="22"/>
          <w:lang w:val="ru-RU"/>
        </w:rPr>
      </w:pPr>
    </w:p>
    <w:p w14:paraId="303F217A" w14:textId="77777777" w:rsidR="00A7613F" w:rsidRPr="004805B7" w:rsidRDefault="00A7613F" w:rsidP="00A7613F">
      <w:pPr>
        <w:spacing w:after="160" w:line="259" w:lineRule="auto"/>
        <w:rPr>
          <w:b/>
          <w:sz w:val="22"/>
          <w:lang w:val="ru-RU"/>
        </w:rPr>
        <w:sectPr w:rsidR="00A7613F" w:rsidRPr="004805B7">
          <w:pgSz w:w="12240" w:h="15840"/>
          <w:pgMar w:top="1420" w:right="1340" w:bottom="1440" w:left="1440" w:header="0" w:footer="0" w:gutter="0"/>
          <w:cols w:space="0" w:equalWidth="0">
            <w:col w:w="9460"/>
          </w:cols>
          <w:docGrid w:linePitch="360"/>
        </w:sectPr>
      </w:pPr>
    </w:p>
    <w:p w14:paraId="00F41B7E" w14:textId="77777777" w:rsidR="00A7613F" w:rsidRPr="004805B7" w:rsidRDefault="004805B7" w:rsidP="00A7613F">
      <w:pPr>
        <w:spacing w:after="160" w:line="259" w:lineRule="auto"/>
        <w:rPr>
          <w:b/>
          <w:sz w:val="22"/>
          <w:lang w:val="ru-RU"/>
        </w:rPr>
      </w:pPr>
      <w:bookmarkStart w:id="0" w:name="page6"/>
      <w:bookmarkEnd w:id="0"/>
      <w:r>
        <w:rPr>
          <w:b/>
          <w:sz w:val="22"/>
          <w:lang w:val="uk"/>
        </w:rPr>
        <w:lastRenderedPageBreak/>
        <w:t>Додаток 1. Фото підтвердження проведення консультацій:</w:t>
      </w:r>
    </w:p>
    <w:p w14:paraId="2FCF5FE8" w14:textId="77777777" w:rsidR="00A7613F" w:rsidRDefault="004805B7" w:rsidP="00A7613F">
      <w:pPr>
        <w:spacing w:after="160" w:line="259" w:lineRule="auto"/>
        <w:rPr>
          <w:b/>
          <w:sz w:val="22"/>
        </w:rPr>
      </w:pPr>
      <w:r>
        <w:rPr>
          <w:noProof/>
          <w:lang w:val="uk-UA" w:eastAsia="uk-UA"/>
        </w:rPr>
        <w:drawing>
          <wp:inline distT="0" distB="0" distL="0" distR="0" wp14:anchorId="02F8DDEA" wp14:editId="20661953">
            <wp:extent cx="5943600" cy="33585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709824"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943600" cy="3358515"/>
                    </a:xfrm>
                    <a:prstGeom prst="rect">
                      <a:avLst/>
                    </a:prstGeom>
                    <a:noFill/>
                    <a:ln>
                      <a:noFill/>
                    </a:ln>
                  </pic:spPr>
                </pic:pic>
              </a:graphicData>
            </a:graphic>
          </wp:inline>
        </w:drawing>
      </w:r>
    </w:p>
    <w:p w14:paraId="419F046D" w14:textId="77777777" w:rsidR="00A7613F" w:rsidRDefault="004805B7" w:rsidP="00A7613F">
      <w:pPr>
        <w:spacing w:after="160" w:line="259" w:lineRule="auto"/>
        <w:rPr>
          <w:b/>
          <w:sz w:val="22"/>
        </w:rPr>
      </w:pPr>
      <w:r>
        <w:rPr>
          <w:noProof/>
          <w:lang w:val="uk-UA" w:eastAsia="uk-UA"/>
        </w:rPr>
        <w:drawing>
          <wp:inline distT="0" distB="0" distL="0" distR="0" wp14:anchorId="07E64B4B" wp14:editId="28E320F6">
            <wp:extent cx="5943600" cy="33585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988981"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943600" cy="3358515"/>
                    </a:xfrm>
                    <a:prstGeom prst="rect">
                      <a:avLst/>
                    </a:prstGeom>
                    <a:noFill/>
                    <a:ln>
                      <a:noFill/>
                    </a:ln>
                  </pic:spPr>
                </pic:pic>
              </a:graphicData>
            </a:graphic>
          </wp:inline>
        </w:drawing>
      </w:r>
      <w:r>
        <w:rPr>
          <w:b/>
          <w:sz w:val="22"/>
        </w:rPr>
        <w:br w:type="page"/>
      </w:r>
    </w:p>
    <w:p w14:paraId="0C7990F8" w14:textId="77777777" w:rsidR="00A7613F" w:rsidRDefault="004805B7" w:rsidP="00A7613F">
      <w:pPr>
        <w:spacing w:line="0" w:lineRule="atLeast"/>
        <w:rPr>
          <w:b/>
          <w:sz w:val="22"/>
          <w:lang w:val="uk"/>
        </w:rPr>
      </w:pPr>
      <w:r>
        <w:rPr>
          <w:b/>
          <w:sz w:val="22"/>
          <w:lang w:val="uk"/>
        </w:rPr>
        <w:lastRenderedPageBreak/>
        <w:t>Додаток 2. Словник термінів</w:t>
      </w:r>
    </w:p>
    <w:p w14:paraId="2EBB4147" w14:textId="77777777" w:rsidR="00553619" w:rsidRDefault="00553619" w:rsidP="00A7613F">
      <w:pPr>
        <w:spacing w:line="0" w:lineRule="atLeast"/>
        <w:rPr>
          <w:b/>
          <w:sz w:val="22"/>
          <w:lang w:val="uk"/>
        </w:rPr>
      </w:pPr>
    </w:p>
    <w:tbl>
      <w:tblPr>
        <w:tblStyle w:val="a5"/>
        <w:tblW w:w="0" w:type="auto"/>
        <w:tblLook w:val="04A0" w:firstRow="1" w:lastRow="0" w:firstColumn="1" w:lastColumn="0" w:noHBand="0" w:noVBand="1"/>
      </w:tblPr>
      <w:tblGrid>
        <w:gridCol w:w="1555"/>
        <w:gridCol w:w="7507"/>
      </w:tblGrid>
      <w:tr w:rsidR="00553619" w14:paraId="462B94C7" w14:textId="77777777" w:rsidTr="00C87CEC">
        <w:tc>
          <w:tcPr>
            <w:tcW w:w="1555" w:type="dxa"/>
          </w:tcPr>
          <w:p w14:paraId="60C409B2" w14:textId="77777777" w:rsidR="00553619" w:rsidRDefault="00C87CEC" w:rsidP="00A7613F">
            <w:pPr>
              <w:spacing w:line="0" w:lineRule="atLeast"/>
              <w:rPr>
                <w:b/>
                <w:sz w:val="22"/>
              </w:rPr>
            </w:pPr>
            <w:r>
              <w:rPr>
                <w:b/>
                <w:sz w:val="22"/>
                <w:lang w:val="uk"/>
              </w:rPr>
              <w:t>Сторони, які зазнали впливу</w:t>
            </w:r>
          </w:p>
        </w:tc>
        <w:tc>
          <w:tcPr>
            <w:tcW w:w="7507" w:type="dxa"/>
          </w:tcPr>
          <w:p w14:paraId="5BB4E7C0" w14:textId="77777777" w:rsidR="00C87CEC" w:rsidRPr="00C87CEC" w:rsidRDefault="00C87CEC" w:rsidP="00C87CEC">
            <w:pPr>
              <w:spacing w:line="0" w:lineRule="atLeast"/>
              <w:rPr>
                <w:sz w:val="22"/>
                <w:lang w:val="uk"/>
              </w:rPr>
            </w:pPr>
            <w:r>
              <w:rPr>
                <w:sz w:val="22"/>
                <w:lang w:val="uk"/>
              </w:rPr>
              <w:t xml:space="preserve">Особи, групи та інші організації, в межах території діяльності проєкту ( </w:t>
            </w:r>
            <w:proofErr w:type="spellStart"/>
            <w:r>
              <w:rPr>
                <w:sz w:val="22"/>
                <w:lang w:val="uk"/>
              </w:rPr>
              <w:t>AoI</w:t>
            </w:r>
            <w:proofErr w:type="spellEnd"/>
            <w:r>
              <w:rPr>
                <w:sz w:val="22"/>
                <w:lang w:val="uk"/>
              </w:rPr>
              <w:t>), які зазнали безпосереднього впливу (фактично чи потенційно) проєкту та/або були ідентифіковані,</w:t>
            </w:r>
            <w:r>
              <w:rPr>
                <w:sz w:val="22"/>
                <w:lang w:val="uk-UA"/>
              </w:rPr>
              <w:t xml:space="preserve"> </w:t>
            </w:r>
            <w:r>
              <w:rPr>
                <w:sz w:val="22"/>
                <w:lang w:val="uk"/>
              </w:rPr>
              <w:t>як найбільш сприйнятливі до змін, пов'язаних з проєктом, і які повинні бути</w:t>
            </w:r>
            <w:r>
              <w:rPr>
                <w:sz w:val="22"/>
                <w:lang w:val="uk-UA"/>
              </w:rPr>
              <w:t xml:space="preserve"> </w:t>
            </w:r>
            <w:r>
              <w:rPr>
                <w:sz w:val="22"/>
                <w:lang w:val="uk"/>
              </w:rPr>
              <w:t>безпосередньо залучені до визначення впливів і їх значущості, а також до прийняття рішень про</w:t>
            </w:r>
            <w:r>
              <w:rPr>
                <w:sz w:val="22"/>
                <w:lang w:val="uk-UA"/>
              </w:rPr>
              <w:t xml:space="preserve"> </w:t>
            </w:r>
            <w:r>
              <w:rPr>
                <w:sz w:val="22"/>
                <w:lang w:val="uk"/>
              </w:rPr>
              <w:t>заходи щодо пом'якшення наслідків та управління;</w:t>
            </w:r>
          </w:p>
        </w:tc>
      </w:tr>
      <w:tr w:rsidR="00553619" w:rsidRPr="00C87CEC" w14:paraId="3A759F29" w14:textId="77777777" w:rsidTr="00C87CEC">
        <w:tc>
          <w:tcPr>
            <w:tcW w:w="1555" w:type="dxa"/>
          </w:tcPr>
          <w:p w14:paraId="10F782F1" w14:textId="77777777" w:rsidR="00553619" w:rsidRPr="00C87CEC" w:rsidRDefault="00C87CEC" w:rsidP="00A7613F">
            <w:pPr>
              <w:spacing w:line="0" w:lineRule="atLeast"/>
              <w:rPr>
                <w:b/>
                <w:sz w:val="22"/>
                <w:lang w:val="uk-UA"/>
              </w:rPr>
            </w:pPr>
            <w:r>
              <w:rPr>
                <w:b/>
                <w:sz w:val="22"/>
                <w:lang w:val="uk-UA"/>
              </w:rPr>
              <w:t>Інші зацікавлені сторони</w:t>
            </w:r>
          </w:p>
        </w:tc>
        <w:tc>
          <w:tcPr>
            <w:tcW w:w="7507" w:type="dxa"/>
          </w:tcPr>
          <w:p w14:paraId="02671991" w14:textId="77777777" w:rsidR="00C87CEC" w:rsidRPr="00C87CEC" w:rsidRDefault="00C87CEC" w:rsidP="00C87CEC">
            <w:pPr>
              <w:spacing w:line="256" w:lineRule="exact"/>
              <w:rPr>
                <w:w w:val="99"/>
                <w:sz w:val="22"/>
                <w:lang w:val="uk-UA"/>
              </w:rPr>
            </w:pPr>
            <w:r>
              <w:rPr>
                <w:w w:val="99"/>
                <w:sz w:val="22"/>
                <w:lang w:val="uk"/>
              </w:rPr>
              <w:t>особи/групи / організації, які можуть не зазнавати безпосереднього впливу Проєкту, але</w:t>
            </w:r>
            <w:r w:rsidRPr="00C87CEC">
              <w:rPr>
                <w:w w:val="99"/>
                <w:sz w:val="22"/>
                <w:lang w:val="uk-UA"/>
              </w:rPr>
              <w:t xml:space="preserve"> </w:t>
            </w:r>
            <w:r>
              <w:rPr>
                <w:sz w:val="22"/>
                <w:lang w:val="uk"/>
              </w:rPr>
              <w:t xml:space="preserve">які вважають, що </w:t>
            </w:r>
            <w:proofErr w:type="spellStart"/>
            <w:r>
              <w:rPr>
                <w:sz w:val="22"/>
                <w:lang w:val="uk"/>
              </w:rPr>
              <w:t>проєкт</w:t>
            </w:r>
            <w:proofErr w:type="spellEnd"/>
            <w:r>
              <w:rPr>
                <w:sz w:val="22"/>
                <w:lang w:val="uk"/>
              </w:rPr>
              <w:t xml:space="preserve"> впливає на їхні інтереси, та / або, які</w:t>
            </w:r>
          </w:p>
          <w:p w14:paraId="484C8420" w14:textId="77777777" w:rsidR="00C87CEC" w:rsidRPr="00C87CEC" w:rsidRDefault="00C87CEC" w:rsidP="00C87CEC">
            <w:pPr>
              <w:spacing w:line="0" w:lineRule="atLeast"/>
              <w:rPr>
                <w:sz w:val="22"/>
                <w:lang w:val="uk"/>
              </w:rPr>
            </w:pPr>
            <w:r>
              <w:rPr>
                <w:sz w:val="22"/>
                <w:lang w:val="uk"/>
              </w:rPr>
              <w:t xml:space="preserve">які можуть якимось чином вплинути на </w:t>
            </w:r>
            <w:proofErr w:type="spellStart"/>
            <w:r>
              <w:rPr>
                <w:sz w:val="22"/>
                <w:lang w:val="uk"/>
              </w:rPr>
              <w:t>проєкт</w:t>
            </w:r>
            <w:proofErr w:type="spellEnd"/>
            <w:r>
              <w:rPr>
                <w:sz w:val="22"/>
                <w:lang w:val="uk"/>
              </w:rPr>
              <w:t xml:space="preserve"> і процес його реалізації;</w:t>
            </w:r>
          </w:p>
        </w:tc>
      </w:tr>
      <w:tr w:rsidR="00553619" w:rsidRPr="00434AD0" w14:paraId="248BFEC5" w14:textId="77777777" w:rsidTr="00C87CEC">
        <w:tc>
          <w:tcPr>
            <w:tcW w:w="1555" w:type="dxa"/>
          </w:tcPr>
          <w:p w14:paraId="4D67C913" w14:textId="77777777" w:rsidR="00553619" w:rsidRPr="00434AD0" w:rsidRDefault="00434AD0" w:rsidP="00A7613F">
            <w:pPr>
              <w:spacing w:line="0" w:lineRule="atLeast"/>
              <w:rPr>
                <w:b/>
                <w:sz w:val="22"/>
                <w:lang w:val="uk-UA"/>
              </w:rPr>
            </w:pPr>
            <w:r w:rsidRPr="00434AD0">
              <w:rPr>
                <w:b/>
                <w:sz w:val="22"/>
                <w:lang w:val="uk-UA"/>
              </w:rPr>
              <w:t>Вразливі групи</w:t>
            </w:r>
          </w:p>
        </w:tc>
        <w:tc>
          <w:tcPr>
            <w:tcW w:w="7507" w:type="dxa"/>
          </w:tcPr>
          <w:p w14:paraId="2199CE4C" w14:textId="77777777" w:rsidR="00434AD0" w:rsidRPr="00434AD0" w:rsidRDefault="00434AD0" w:rsidP="00434AD0">
            <w:pPr>
              <w:spacing w:line="0" w:lineRule="atLeast"/>
              <w:rPr>
                <w:sz w:val="22"/>
                <w:lang w:val="uk"/>
              </w:rPr>
            </w:pPr>
            <w:r>
              <w:rPr>
                <w:sz w:val="22"/>
                <w:lang w:val="uk"/>
              </w:rPr>
              <w:t>особи, які можуть зазнати непропорційного впливу або опинитися у ще більш несприятливому становищі  в результаті</w:t>
            </w:r>
            <w:r w:rsidRPr="00434AD0">
              <w:rPr>
                <w:sz w:val="22"/>
                <w:lang w:val="uk-UA"/>
              </w:rPr>
              <w:t xml:space="preserve"> </w:t>
            </w:r>
            <w:r>
              <w:rPr>
                <w:sz w:val="22"/>
                <w:lang w:val="uk"/>
              </w:rPr>
              <w:t>проєкту(-</w:t>
            </w:r>
            <w:proofErr w:type="spellStart"/>
            <w:r>
              <w:rPr>
                <w:sz w:val="22"/>
                <w:lang w:val="uk"/>
              </w:rPr>
              <w:t>ів</w:t>
            </w:r>
            <w:proofErr w:type="spellEnd"/>
            <w:r>
              <w:rPr>
                <w:sz w:val="22"/>
                <w:lang w:val="uk"/>
              </w:rPr>
              <w:t>) порівняно з будь-якими іншими групами через їхній вразливий статус і</w:t>
            </w:r>
            <w:r>
              <w:rPr>
                <w:sz w:val="22"/>
                <w:lang w:val="uk-UA"/>
              </w:rPr>
              <w:t xml:space="preserve"> </w:t>
            </w:r>
            <w:r>
              <w:rPr>
                <w:sz w:val="22"/>
                <w:lang w:val="uk"/>
              </w:rPr>
              <w:t>можуть потребувати додаткових зусиль щодо залучення для забезпечення їхнього рівноправного представництва в</w:t>
            </w:r>
            <w:r>
              <w:rPr>
                <w:sz w:val="22"/>
                <w:lang w:val="uk-UA"/>
              </w:rPr>
              <w:t xml:space="preserve"> </w:t>
            </w:r>
            <w:r>
              <w:rPr>
                <w:sz w:val="22"/>
                <w:lang w:val="uk"/>
              </w:rPr>
              <w:t>процесі консультацій і прийняття рішень, пов'язаних з проєктом(-и).</w:t>
            </w:r>
          </w:p>
        </w:tc>
      </w:tr>
      <w:tr w:rsidR="00553619" w:rsidRPr="00434AD0" w14:paraId="599DFCE2" w14:textId="77777777" w:rsidTr="00C87CEC">
        <w:tc>
          <w:tcPr>
            <w:tcW w:w="1555" w:type="dxa"/>
          </w:tcPr>
          <w:p w14:paraId="29B99825" w14:textId="77777777" w:rsidR="00553619" w:rsidRPr="00434AD0" w:rsidRDefault="00434AD0" w:rsidP="00A7613F">
            <w:pPr>
              <w:spacing w:line="0" w:lineRule="atLeast"/>
              <w:rPr>
                <w:b/>
                <w:sz w:val="22"/>
                <w:lang w:val="uk-UA"/>
              </w:rPr>
            </w:pPr>
            <w:r>
              <w:rPr>
                <w:b/>
                <w:sz w:val="22"/>
                <w:lang w:val="uk-UA"/>
              </w:rPr>
              <w:t>Консультація</w:t>
            </w:r>
          </w:p>
        </w:tc>
        <w:tc>
          <w:tcPr>
            <w:tcW w:w="7507" w:type="dxa"/>
          </w:tcPr>
          <w:p w14:paraId="500E8F58" w14:textId="77777777" w:rsidR="00434AD0" w:rsidRPr="00434AD0" w:rsidRDefault="00434AD0" w:rsidP="00434AD0">
            <w:pPr>
              <w:spacing w:line="256" w:lineRule="exact"/>
              <w:rPr>
                <w:sz w:val="22"/>
                <w:lang w:val="uk"/>
              </w:rPr>
            </w:pPr>
            <w:r>
              <w:rPr>
                <w:sz w:val="22"/>
                <w:lang w:val="uk"/>
              </w:rPr>
              <w:t>Процес надання зацікавленим сторонам можливостей висловити свої думки стосовно</w:t>
            </w:r>
            <w:r w:rsidRPr="00434AD0">
              <w:rPr>
                <w:sz w:val="22"/>
                <w:lang w:val="uk-UA"/>
              </w:rPr>
              <w:t xml:space="preserve"> </w:t>
            </w:r>
            <w:r>
              <w:rPr>
                <w:sz w:val="22"/>
                <w:lang w:val="uk"/>
              </w:rPr>
              <w:t>можливостей, ризиків, впливу проєкту та заходів щодо пом'якшення шляхом збору</w:t>
            </w:r>
            <w:r w:rsidRPr="00434AD0">
              <w:rPr>
                <w:sz w:val="22"/>
                <w:lang w:val="uk-UA"/>
              </w:rPr>
              <w:t xml:space="preserve"> </w:t>
            </w:r>
            <w:r>
              <w:rPr>
                <w:sz w:val="22"/>
                <w:lang w:val="uk"/>
              </w:rPr>
              <w:t>інформації або рекомендацій від зацікавлених сторін та врахування цих думок при</w:t>
            </w:r>
            <w:r w:rsidRPr="00434AD0">
              <w:rPr>
                <w:sz w:val="22"/>
                <w:lang w:val="uk-UA"/>
              </w:rPr>
              <w:t xml:space="preserve"> </w:t>
            </w:r>
            <w:r>
              <w:rPr>
                <w:sz w:val="22"/>
                <w:lang w:val="uk"/>
              </w:rPr>
              <w:t>прийнятті рішень за проєктом та / або постановці цілей та визначені стратегій.</w:t>
            </w:r>
          </w:p>
        </w:tc>
      </w:tr>
      <w:tr w:rsidR="00553619" w:rsidRPr="00434AD0" w14:paraId="19AE33D9" w14:textId="77777777" w:rsidTr="00C87CEC">
        <w:tc>
          <w:tcPr>
            <w:tcW w:w="1555" w:type="dxa"/>
          </w:tcPr>
          <w:p w14:paraId="1CFB42BF" w14:textId="77777777" w:rsidR="00553619" w:rsidRPr="00434AD0" w:rsidRDefault="004734CA" w:rsidP="00A7613F">
            <w:pPr>
              <w:spacing w:line="0" w:lineRule="atLeast"/>
              <w:rPr>
                <w:b/>
                <w:sz w:val="22"/>
                <w:lang w:val="uk-UA"/>
              </w:rPr>
            </w:pPr>
            <w:r>
              <w:rPr>
                <w:b/>
                <w:sz w:val="22"/>
                <w:lang w:val="uk-UA"/>
              </w:rPr>
              <w:t>Розкриття інформації</w:t>
            </w:r>
          </w:p>
        </w:tc>
        <w:tc>
          <w:tcPr>
            <w:tcW w:w="7507" w:type="dxa"/>
          </w:tcPr>
          <w:p w14:paraId="6E3C484A" w14:textId="77777777" w:rsidR="004734CA" w:rsidRPr="00E85A8F" w:rsidRDefault="004734CA" w:rsidP="00E85A8F">
            <w:pPr>
              <w:spacing w:line="256" w:lineRule="exact"/>
              <w:rPr>
                <w:sz w:val="22"/>
                <w:lang w:val="uk"/>
              </w:rPr>
            </w:pPr>
            <w:r>
              <w:rPr>
                <w:sz w:val="22"/>
                <w:lang w:val="uk"/>
              </w:rPr>
              <w:t>Надання інформації як основи для консультацій із зацікавленими сторонами проєкту.</w:t>
            </w:r>
            <w:r w:rsidRPr="004734CA">
              <w:rPr>
                <w:sz w:val="22"/>
                <w:lang w:val="uk-UA"/>
              </w:rPr>
              <w:t xml:space="preserve"> </w:t>
            </w:r>
            <w:r>
              <w:rPr>
                <w:sz w:val="22"/>
                <w:lang w:val="uk"/>
              </w:rPr>
              <w:t>Передбачає попереднє розкриття і поширення відповідної, прозорої, об'єктивної,</w:t>
            </w:r>
            <w:r>
              <w:rPr>
                <w:sz w:val="22"/>
                <w:lang w:val="uk-UA"/>
              </w:rPr>
              <w:t xml:space="preserve"> </w:t>
            </w:r>
            <w:r>
              <w:rPr>
                <w:sz w:val="22"/>
                <w:lang w:val="uk"/>
              </w:rPr>
              <w:t>змістовної і легкодоступної інф</w:t>
            </w:r>
            <w:r w:rsidR="00E85A8F">
              <w:rPr>
                <w:sz w:val="22"/>
                <w:lang w:val="uk"/>
              </w:rPr>
              <w:t>ормації в терміни, що дозволяють</w:t>
            </w:r>
            <w:r>
              <w:rPr>
                <w:sz w:val="22"/>
                <w:lang w:val="uk"/>
              </w:rPr>
              <w:t xml:space="preserve"> провести змістовні</w:t>
            </w:r>
            <w:r w:rsidRPr="004734CA">
              <w:rPr>
                <w:sz w:val="22"/>
                <w:lang w:val="uk-UA"/>
              </w:rPr>
              <w:t xml:space="preserve"> </w:t>
            </w:r>
            <w:r>
              <w:rPr>
                <w:sz w:val="22"/>
                <w:lang w:val="uk"/>
              </w:rPr>
              <w:t>консультації із зацікавленими сторонами у відповідному культурі форматі,  відповідною(-ми) місцевою(-ми)</w:t>
            </w:r>
            <w:r w:rsidRPr="004734CA">
              <w:rPr>
                <w:sz w:val="22"/>
                <w:lang w:val="uk-UA"/>
              </w:rPr>
              <w:t xml:space="preserve"> </w:t>
            </w:r>
            <w:r w:rsidR="00E85A8F">
              <w:rPr>
                <w:sz w:val="22"/>
                <w:lang w:val="uk"/>
              </w:rPr>
              <w:t>мовою(-ми) та у зрозумілій</w:t>
            </w:r>
            <w:r>
              <w:rPr>
                <w:sz w:val="22"/>
                <w:lang w:val="uk"/>
              </w:rPr>
              <w:t xml:space="preserve"> для зацікавлених сторін</w:t>
            </w:r>
            <w:r w:rsidR="00E85A8F">
              <w:rPr>
                <w:sz w:val="22"/>
                <w:lang w:val="uk"/>
              </w:rPr>
              <w:t xml:space="preserve"> формі</w:t>
            </w:r>
            <w:r>
              <w:rPr>
                <w:sz w:val="22"/>
                <w:lang w:val="uk"/>
              </w:rPr>
              <w:t>.</w:t>
            </w:r>
          </w:p>
        </w:tc>
      </w:tr>
      <w:tr w:rsidR="00553619" w:rsidRPr="00434AD0" w14:paraId="51C5C883" w14:textId="77777777" w:rsidTr="00C87CEC">
        <w:tc>
          <w:tcPr>
            <w:tcW w:w="1555" w:type="dxa"/>
          </w:tcPr>
          <w:p w14:paraId="4B07D423" w14:textId="77777777" w:rsidR="00553619" w:rsidRPr="00434AD0" w:rsidRDefault="00677990" w:rsidP="00A7613F">
            <w:pPr>
              <w:spacing w:line="0" w:lineRule="atLeast"/>
              <w:rPr>
                <w:b/>
                <w:sz w:val="22"/>
                <w:lang w:val="uk-UA"/>
              </w:rPr>
            </w:pPr>
            <w:r>
              <w:rPr>
                <w:b/>
                <w:sz w:val="22"/>
                <w:lang w:val="uk-UA"/>
              </w:rPr>
              <w:t>Залучення</w:t>
            </w:r>
          </w:p>
        </w:tc>
        <w:tc>
          <w:tcPr>
            <w:tcW w:w="7507" w:type="dxa"/>
          </w:tcPr>
          <w:p w14:paraId="0662276C" w14:textId="77777777" w:rsidR="00677990" w:rsidRPr="004805B7" w:rsidRDefault="00677990" w:rsidP="00677990">
            <w:pPr>
              <w:spacing w:line="256" w:lineRule="exact"/>
              <w:rPr>
                <w:sz w:val="22"/>
                <w:lang w:val="ru-RU"/>
              </w:rPr>
            </w:pPr>
            <w:r>
              <w:rPr>
                <w:sz w:val="22"/>
                <w:lang w:val="uk"/>
              </w:rPr>
              <w:t>Безперервний двосторонній процес, в якому агентство, компанія або</w:t>
            </w:r>
          </w:p>
          <w:p w14:paraId="7E8F1281" w14:textId="77777777" w:rsidR="00677990" w:rsidRPr="00677990" w:rsidRDefault="00677990" w:rsidP="00677990">
            <w:pPr>
              <w:spacing w:line="0" w:lineRule="atLeast"/>
              <w:rPr>
                <w:sz w:val="22"/>
                <w:lang w:val="uk"/>
              </w:rPr>
            </w:pPr>
            <w:r>
              <w:rPr>
                <w:sz w:val="22"/>
                <w:lang w:val="uk"/>
              </w:rPr>
              <w:t xml:space="preserve">організація, що виконує </w:t>
            </w:r>
            <w:proofErr w:type="spellStart"/>
            <w:r>
              <w:rPr>
                <w:sz w:val="22"/>
                <w:lang w:val="uk"/>
              </w:rPr>
              <w:t>проєкт</w:t>
            </w:r>
            <w:proofErr w:type="spellEnd"/>
            <w:r>
              <w:rPr>
                <w:sz w:val="22"/>
                <w:lang w:val="uk"/>
              </w:rPr>
              <w:t>, будує та підтримує конструктивні та сталі відносини з</w:t>
            </w:r>
            <w:r w:rsidRPr="00677990">
              <w:rPr>
                <w:sz w:val="22"/>
                <w:lang w:val="uk"/>
              </w:rPr>
              <w:t xml:space="preserve"> </w:t>
            </w:r>
            <w:r>
              <w:rPr>
                <w:sz w:val="22"/>
                <w:lang w:val="uk"/>
              </w:rPr>
              <w:t>зацікавленими сторонами, які зазнали впливу протягом усього терміну реалізації проєкту. Це є частиною ширшої стратегії залучення</w:t>
            </w:r>
            <w:r w:rsidRPr="00677990">
              <w:rPr>
                <w:sz w:val="22"/>
                <w:lang w:val="uk"/>
              </w:rPr>
              <w:t xml:space="preserve"> </w:t>
            </w:r>
            <w:r>
              <w:rPr>
                <w:sz w:val="22"/>
                <w:lang w:val="uk"/>
              </w:rPr>
              <w:t xml:space="preserve">зацікавлених сторін, яка також охоплює уряди, громадянське суспільство, працівників, постачальників та інших осіб, зацікавлених в </w:t>
            </w:r>
            <w:proofErr w:type="spellStart"/>
            <w:r>
              <w:rPr>
                <w:sz w:val="22"/>
                <w:lang w:val="uk"/>
              </w:rPr>
              <w:t>проєкті</w:t>
            </w:r>
            <w:proofErr w:type="spellEnd"/>
            <w:r>
              <w:rPr>
                <w:sz w:val="22"/>
                <w:lang w:val="uk"/>
              </w:rPr>
              <w:t>.</w:t>
            </w:r>
          </w:p>
        </w:tc>
      </w:tr>
      <w:tr w:rsidR="00677990" w:rsidRPr="00434AD0" w14:paraId="369F383A" w14:textId="77777777" w:rsidTr="007A5448">
        <w:tc>
          <w:tcPr>
            <w:tcW w:w="1555" w:type="dxa"/>
          </w:tcPr>
          <w:p w14:paraId="2BAA27ED" w14:textId="77777777" w:rsidR="00677990" w:rsidRPr="00434AD0" w:rsidRDefault="00677990" w:rsidP="00677990">
            <w:pPr>
              <w:spacing w:line="0" w:lineRule="atLeast"/>
              <w:rPr>
                <w:b/>
                <w:sz w:val="22"/>
                <w:lang w:val="uk-UA"/>
              </w:rPr>
            </w:pPr>
            <w:r>
              <w:rPr>
                <w:b/>
                <w:sz w:val="22"/>
                <w:lang w:val="uk-UA"/>
              </w:rPr>
              <w:t>Принципи залучення зацікавлених сторін</w:t>
            </w:r>
          </w:p>
        </w:tc>
        <w:tc>
          <w:tcPr>
            <w:tcW w:w="7507" w:type="dxa"/>
            <w:vAlign w:val="bottom"/>
          </w:tcPr>
          <w:p w14:paraId="39CA7CE0" w14:textId="77777777" w:rsidR="00F14746" w:rsidRDefault="00F14746" w:rsidP="00F14746">
            <w:pPr>
              <w:spacing w:line="253" w:lineRule="exact"/>
              <w:jc w:val="both"/>
              <w:rPr>
                <w:sz w:val="22"/>
                <w:lang w:val="uk"/>
              </w:rPr>
            </w:pPr>
            <w:r>
              <w:rPr>
                <w:sz w:val="22"/>
                <w:lang w:val="uk"/>
              </w:rPr>
              <w:t>Відкритість та метод</w:t>
            </w:r>
            <w:r w:rsidR="00677990">
              <w:rPr>
                <w:sz w:val="22"/>
                <w:lang w:val="uk"/>
              </w:rPr>
              <w:t xml:space="preserve"> життєвого циклу: консультац</w:t>
            </w:r>
            <w:r>
              <w:rPr>
                <w:sz w:val="22"/>
                <w:lang w:val="uk"/>
              </w:rPr>
              <w:t>ії з громадськістю щодо проєкту</w:t>
            </w:r>
            <w:r w:rsidR="00677990">
              <w:rPr>
                <w:sz w:val="22"/>
                <w:lang w:val="uk"/>
              </w:rPr>
              <w:t>(-</w:t>
            </w:r>
            <w:proofErr w:type="spellStart"/>
            <w:r w:rsidR="00677990">
              <w:rPr>
                <w:sz w:val="22"/>
                <w:lang w:val="uk"/>
              </w:rPr>
              <w:t>ів</w:t>
            </w:r>
            <w:proofErr w:type="spellEnd"/>
            <w:r w:rsidR="00677990">
              <w:rPr>
                <w:sz w:val="22"/>
                <w:lang w:val="uk"/>
              </w:rPr>
              <w:t>) будуть</w:t>
            </w:r>
            <w:r w:rsidR="00677990">
              <w:rPr>
                <w:sz w:val="22"/>
                <w:lang w:val="uk-UA"/>
              </w:rPr>
              <w:t xml:space="preserve"> </w:t>
            </w:r>
            <w:r w:rsidR="00677990">
              <w:rPr>
                <w:sz w:val="22"/>
                <w:lang w:val="uk"/>
              </w:rPr>
              <w:t>організовуватися протягом усього життєвого циклу, проводитимуться відкрито, без зовнішнього</w:t>
            </w:r>
            <w:r w:rsidR="00677990">
              <w:rPr>
                <w:sz w:val="22"/>
                <w:lang w:val="uk-UA"/>
              </w:rPr>
              <w:t xml:space="preserve"> </w:t>
            </w:r>
            <w:r w:rsidR="00677990">
              <w:rPr>
                <w:sz w:val="22"/>
                <w:lang w:val="uk"/>
              </w:rPr>
              <w:t>маніпулювання, втру</w:t>
            </w:r>
            <w:r>
              <w:rPr>
                <w:sz w:val="22"/>
                <w:lang w:val="uk"/>
              </w:rPr>
              <w:t xml:space="preserve">чання, примусу чи залякування; </w:t>
            </w:r>
          </w:p>
          <w:p w14:paraId="282565AF" w14:textId="77777777" w:rsidR="00677990" w:rsidRPr="00677990" w:rsidRDefault="00F14746" w:rsidP="00F14746">
            <w:pPr>
              <w:spacing w:line="253" w:lineRule="exact"/>
              <w:jc w:val="both"/>
              <w:rPr>
                <w:sz w:val="22"/>
                <w:lang w:val="uk-UA"/>
              </w:rPr>
            </w:pPr>
            <w:r>
              <w:rPr>
                <w:sz w:val="22"/>
                <w:lang w:val="uk"/>
              </w:rPr>
              <w:t>Інформована</w:t>
            </w:r>
            <w:r w:rsidR="00677990">
              <w:rPr>
                <w:sz w:val="22"/>
                <w:lang w:val="uk"/>
              </w:rPr>
              <w:t xml:space="preserve"> участь та</w:t>
            </w:r>
            <w:r w:rsidR="00677990">
              <w:rPr>
                <w:sz w:val="22"/>
                <w:lang w:val="uk-UA"/>
              </w:rPr>
              <w:t xml:space="preserve"> </w:t>
            </w:r>
            <w:r>
              <w:rPr>
                <w:sz w:val="22"/>
                <w:lang w:val="uk"/>
              </w:rPr>
              <w:t>зворотни</w:t>
            </w:r>
            <w:r w:rsidR="00677990">
              <w:rPr>
                <w:sz w:val="22"/>
                <w:lang w:val="uk"/>
              </w:rPr>
              <w:t>й зв'язок: інформац</w:t>
            </w:r>
            <w:r>
              <w:rPr>
                <w:sz w:val="22"/>
                <w:lang w:val="uk"/>
              </w:rPr>
              <w:t>ія буде надана і широко розповсюджена</w:t>
            </w:r>
            <w:r w:rsidR="00677990">
              <w:rPr>
                <w:sz w:val="22"/>
                <w:lang w:val="uk"/>
              </w:rPr>
              <w:t xml:space="preserve"> серед усіх</w:t>
            </w:r>
            <w:r w:rsidR="00677990">
              <w:rPr>
                <w:sz w:val="22"/>
                <w:lang w:val="uk-UA"/>
              </w:rPr>
              <w:t xml:space="preserve"> </w:t>
            </w:r>
            <w:r w:rsidR="00677990">
              <w:rPr>
                <w:sz w:val="22"/>
                <w:lang w:val="uk"/>
              </w:rPr>
              <w:t>зацікавлених сторін у відп</w:t>
            </w:r>
            <w:r>
              <w:rPr>
                <w:sz w:val="22"/>
                <w:lang w:val="uk"/>
              </w:rPr>
              <w:t>овідному форматі; забезпечуватимуться</w:t>
            </w:r>
            <w:r w:rsidR="00677990">
              <w:rPr>
                <w:sz w:val="22"/>
                <w:lang w:val="uk"/>
              </w:rPr>
              <w:t xml:space="preserve"> можливості для</w:t>
            </w:r>
            <w:r>
              <w:rPr>
                <w:sz w:val="22"/>
                <w:lang w:val="uk"/>
              </w:rPr>
              <w:t xml:space="preserve"> надання</w:t>
            </w:r>
            <w:r w:rsidR="00677990">
              <w:rPr>
                <w:sz w:val="22"/>
                <w:lang w:val="uk"/>
              </w:rPr>
              <w:t xml:space="preserve"> </w:t>
            </w:r>
            <w:r>
              <w:rPr>
                <w:sz w:val="22"/>
                <w:lang w:val="uk"/>
              </w:rPr>
              <w:t xml:space="preserve">зворотного зв'язку зацікавленими </w:t>
            </w:r>
            <w:proofErr w:type="spellStart"/>
            <w:r>
              <w:rPr>
                <w:sz w:val="22"/>
                <w:lang w:val="uk"/>
              </w:rPr>
              <w:t>сторами</w:t>
            </w:r>
            <w:proofErr w:type="spellEnd"/>
            <w:r w:rsidR="00677990">
              <w:rPr>
                <w:sz w:val="22"/>
                <w:lang w:val="uk"/>
              </w:rPr>
              <w:t xml:space="preserve"> для аналізу та усунення зауважень і занепокоєнь;</w:t>
            </w:r>
          </w:p>
          <w:p w14:paraId="3DBAA8EA" w14:textId="77777777" w:rsidR="00677990" w:rsidRPr="004805B7" w:rsidRDefault="00677990" w:rsidP="00F14746">
            <w:pPr>
              <w:spacing w:line="0" w:lineRule="atLeast"/>
              <w:jc w:val="both"/>
              <w:rPr>
                <w:sz w:val="22"/>
                <w:lang w:val="ru-RU"/>
              </w:rPr>
            </w:pPr>
            <w:proofErr w:type="spellStart"/>
            <w:r>
              <w:rPr>
                <w:sz w:val="22"/>
                <w:lang w:val="uk"/>
              </w:rPr>
              <w:t>Інклюзивність</w:t>
            </w:r>
            <w:proofErr w:type="spellEnd"/>
            <w:r>
              <w:rPr>
                <w:sz w:val="22"/>
                <w:lang w:val="uk"/>
              </w:rPr>
              <w:t xml:space="preserve"> та швидке реагування: ідентифікація зацікавлених сторін проводиться для підтримки кращої</w:t>
            </w:r>
            <w:r w:rsidRPr="00677990">
              <w:rPr>
                <w:sz w:val="22"/>
                <w:lang w:val="uk-UA"/>
              </w:rPr>
              <w:t xml:space="preserve"> </w:t>
            </w:r>
            <w:r>
              <w:rPr>
                <w:sz w:val="22"/>
                <w:lang w:val="uk"/>
              </w:rPr>
              <w:t>комунікації і вибудовування ефективних відносин. Процес участі в</w:t>
            </w:r>
            <w:r>
              <w:rPr>
                <w:sz w:val="22"/>
                <w:lang w:val="ru-RU"/>
              </w:rPr>
              <w:t xml:space="preserve"> </w:t>
            </w:r>
            <w:proofErr w:type="spellStart"/>
            <w:r>
              <w:rPr>
                <w:sz w:val="22"/>
                <w:lang w:val="uk"/>
              </w:rPr>
              <w:t>проєкті</w:t>
            </w:r>
            <w:proofErr w:type="spellEnd"/>
            <w:r>
              <w:rPr>
                <w:sz w:val="22"/>
                <w:lang w:val="uk"/>
              </w:rPr>
              <w:t>(-ах) є інклюзивним. Всі зацікавлені сторони в будь-який час заохочуються до участі в</w:t>
            </w:r>
            <w:r>
              <w:rPr>
                <w:sz w:val="22"/>
                <w:lang w:val="ru-RU"/>
              </w:rPr>
              <w:t xml:space="preserve"> </w:t>
            </w:r>
            <w:r>
              <w:rPr>
                <w:sz w:val="22"/>
                <w:lang w:val="uk"/>
              </w:rPr>
              <w:t>процесі проведення консультацій. Рівний доступ до інформації надається всім зацікавленим сторонам;</w:t>
            </w:r>
          </w:p>
          <w:p w14:paraId="3CEEF7A5" w14:textId="77777777" w:rsidR="00677990" w:rsidRPr="00677990" w:rsidRDefault="00677990" w:rsidP="00F14746">
            <w:pPr>
              <w:spacing w:line="0" w:lineRule="atLeast"/>
              <w:jc w:val="both"/>
              <w:rPr>
                <w:sz w:val="22"/>
                <w:lang w:val="uk"/>
              </w:rPr>
            </w:pPr>
            <w:r>
              <w:rPr>
                <w:sz w:val="22"/>
                <w:lang w:val="uk"/>
              </w:rPr>
              <w:t xml:space="preserve">Швидке реагування на потреби зацікавлених сторін є ключовим принципом, що лежить в основі вибору методів взаємодії. Особлива увага приділяється вразливим групам і тим, групам що знаходяться в несприятливому становищі, зокрема жінкам, молоді, літнім людям, включаючи різні етнічні групи. </w:t>
            </w:r>
          </w:p>
        </w:tc>
      </w:tr>
    </w:tbl>
    <w:p w14:paraId="153CE742" w14:textId="77777777" w:rsidR="00553619" w:rsidRPr="00434AD0" w:rsidRDefault="00553619" w:rsidP="00A27BA2">
      <w:pPr>
        <w:spacing w:line="0" w:lineRule="atLeast"/>
        <w:rPr>
          <w:b/>
          <w:sz w:val="22"/>
          <w:lang w:val="uk-UA"/>
        </w:rPr>
      </w:pPr>
    </w:p>
    <w:sectPr w:rsidR="00553619" w:rsidRPr="00434AD0" w:rsidSect="004805B7">
      <w:pgSz w:w="12240" w:h="15840"/>
      <w:pgMar w:top="1134" w:right="14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9E387" w14:textId="77777777" w:rsidR="00BD1B71" w:rsidRDefault="00BD1B71">
      <w:r>
        <w:separator/>
      </w:r>
    </w:p>
  </w:endnote>
  <w:endnote w:type="continuationSeparator" w:id="0">
    <w:p w14:paraId="1B40AE42" w14:textId="77777777" w:rsidR="00BD1B71" w:rsidRDefault="00BD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44A0C" w14:textId="77777777" w:rsidR="00BD1B71" w:rsidRDefault="00BD1B71">
      <w:r>
        <w:separator/>
      </w:r>
    </w:p>
  </w:footnote>
  <w:footnote w:type="continuationSeparator" w:id="0">
    <w:p w14:paraId="1E92C55F" w14:textId="77777777" w:rsidR="00BD1B71" w:rsidRDefault="00BD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9840"/>
    <w:multiLevelType w:val="hybridMultilevel"/>
    <w:tmpl w:val="FFFFFFFF"/>
    <w:lvl w:ilvl="0" w:tplc="92CAEF62">
      <w:start w:val="1"/>
      <w:numFmt w:val="bullet"/>
      <w:lvlText w:val="-"/>
      <w:lvlJc w:val="left"/>
      <w:pPr>
        <w:ind w:left="720" w:hanging="360"/>
      </w:pPr>
      <w:rPr>
        <w:rFonts w:ascii="Calibri" w:hAnsi="Calibri" w:hint="default"/>
      </w:rPr>
    </w:lvl>
    <w:lvl w:ilvl="1" w:tplc="05EEC56E">
      <w:start w:val="1"/>
      <w:numFmt w:val="bullet"/>
      <w:lvlText w:val="o"/>
      <w:lvlJc w:val="left"/>
      <w:pPr>
        <w:ind w:left="1440" w:hanging="360"/>
      </w:pPr>
      <w:rPr>
        <w:rFonts w:ascii="Courier New" w:hAnsi="Courier New" w:hint="default"/>
      </w:rPr>
    </w:lvl>
    <w:lvl w:ilvl="2" w:tplc="BC0CCFBA">
      <w:start w:val="1"/>
      <w:numFmt w:val="bullet"/>
      <w:lvlText w:val=""/>
      <w:lvlJc w:val="left"/>
      <w:pPr>
        <w:ind w:left="2160" w:hanging="360"/>
      </w:pPr>
      <w:rPr>
        <w:rFonts w:ascii="Wingdings" w:hAnsi="Wingdings" w:hint="default"/>
      </w:rPr>
    </w:lvl>
    <w:lvl w:ilvl="3" w:tplc="C7BCEB9C">
      <w:start w:val="1"/>
      <w:numFmt w:val="bullet"/>
      <w:lvlText w:val=""/>
      <w:lvlJc w:val="left"/>
      <w:pPr>
        <w:ind w:left="2880" w:hanging="360"/>
      </w:pPr>
      <w:rPr>
        <w:rFonts w:ascii="Symbol" w:hAnsi="Symbol" w:hint="default"/>
      </w:rPr>
    </w:lvl>
    <w:lvl w:ilvl="4" w:tplc="4C1E864C">
      <w:start w:val="1"/>
      <w:numFmt w:val="bullet"/>
      <w:lvlText w:val="o"/>
      <w:lvlJc w:val="left"/>
      <w:pPr>
        <w:ind w:left="3600" w:hanging="360"/>
      </w:pPr>
      <w:rPr>
        <w:rFonts w:ascii="Courier New" w:hAnsi="Courier New" w:hint="default"/>
      </w:rPr>
    </w:lvl>
    <w:lvl w:ilvl="5" w:tplc="91A859BA">
      <w:start w:val="1"/>
      <w:numFmt w:val="bullet"/>
      <w:lvlText w:val=""/>
      <w:lvlJc w:val="left"/>
      <w:pPr>
        <w:ind w:left="4320" w:hanging="360"/>
      </w:pPr>
      <w:rPr>
        <w:rFonts w:ascii="Wingdings" w:hAnsi="Wingdings" w:hint="default"/>
      </w:rPr>
    </w:lvl>
    <w:lvl w:ilvl="6" w:tplc="A704BE04">
      <w:start w:val="1"/>
      <w:numFmt w:val="bullet"/>
      <w:lvlText w:val=""/>
      <w:lvlJc w:val="left"/>
      <w:pPr>
        <w:ind w:left="5040" w:hanging="360"/>
      </w:pPr>
      <w:rPr>
        <w:rFonts w:ascii="Symbol" w:hAnsi="Symbol" w:hint="default"/>
      </w:rPr>
    </w:lvl>
    <w:lvl w:ilvl="7" w:tplc="52C84B52">
      <w:start w:val="1"/>
      <w:numFmt w:val="bullet"/>
      <w:lvlText w:val="o"/>
      <w:lvlJc w:val="left"/>
      <w:pPr>
        <w:ind w:left="5760" w:hanging="360"/>
      </w:pPr>
      <w:rPr>
        <w:rFonts w:ascii="Courier New" w:hAnsi="Courier New" w:hint="default"/>
      </w:rPr>
    </w:lvl>
    <w:lvl w:ilvl="8" w:tplc="F0E05138">
      <w:start w:val="1"/>
      <w:numFmt w:val="bullet"/>
      <w:lvlText w:val=""/>
      <w:lvlJc w:val="left"/>
      <w:pPr>
        <w:ind w:left="6480" w:hanging="360"/>
      </w:pPr>
      <w:rPr>
        <w:rFonts w:ascii="Wingdings" w:hAnsi="Wingdings" w:hint="default"/>
      </w:rPr>
    </w:lvl>
  </w:abstractNum>
  <w:abstractNum w:abstractNumId="1" w15:restartNumberingAfterBreak="0">
    <w:nsid w:val="0C44E2C9"/>
    <w:multiLevelType w:val="hybridMultilevel"/>
    <w:tmpl w:val="FFFFFFFF"/>
    <w:lvl w:ilvl="0" w:tplc="EE5869D4">
      <w:start w:val="1"/>
      <w:numFmt w:val="bullet"/>
      <w:lvlText w:val="-"/>
      <w:lvlJc w:val="left"/>
      <w:pPr>
        <w:ind w:left="720" w:hanging="360"/>
      </w:pPr>
      <w:rPr>
        <w:rFonts w:ascii="Calibri" w:hAnsi="Calibri" w:hint="default"/>
      </w:rPr>
    </w:lvl>
    <w:lvl w:ilvl="1" w:tplc="5F34AB08">
      <w:start w:val="1"/>
      <w:numFmt w:val="bullet"/>
      <w:lvlText w:val="o"/>
      <w:lvlJc w:val="left"/>
      <w:pPr>
        <w:ind w:left="1440" w:hanging="360"/>
      </w:pPr>
      <w:rPr>
        <w:rFonts w:ascii="Courier New" w:hAnsi="Courier New" w:hint="default"/>
      </w:rPr>
    </w:lvl>
    <w:lvl w:ilvl="2" w:tplc="ED740A04">
      <w:start w:val="1"/>
      <w:numFmt w:val="bullet"/>
      <w:lvlText w:val=""/>
      <w:lvlJc w:val="left"/>
      <w:pPr>
        <w:ind w:left="2160" w:hanging="360"/>
      </w:pPr>
      <w:rPr>
        <w:rFonts w:ascii="Wingdings" w:hAnsi="Wingdings" w:hint="default"/>
      </w:rPr>
    </w:lvl>
    <w:lvl w:ilvl="3" w:tplc="89D8A2F4">
      <w:start w:val="1"/>
      <w:numFmt w:val="bullet"/>
      <w:lvlText w:val=""/>
      <w:lvlJc w:val="left"/>
      <w:pPr>
        <w:ind w:left="2880" w:hanging="360"/>
      </w:pPr>
      <w:rPr>
        <w:rFonts w:ascii="Symbol" w:hAnsi="Symbol" w:hint="default"/>
      </w:rPr>
    </w:lvl>
    <w:lvl w:ilvl="4" w:tplc="07BE4562">
      <w:start w:val="1"/>
      <w:numFmt w:val="bullet"/>
      <w:lvlText w:val="o"/>
      <w:lvlJc w:val="left"/>
      <w:pPr>
        <w:ind w:left="3600" w:hanging="360"/>
      </w:pPr>
      <w:rPr>
        <w:rFonts w:ascii="Courier New" w:hAnsi="Courier New" w:hint="default"/>
      </w:rPr>
    </w:lvl>
    <w:lvl w:ilvl="5" w:tplc="4A1EB9AE">
      <w:start w:val="1"/>
      <w:numFmt w:val="bullet"/>
      <w:lvlText w:val=""/>
      <w:lvlJc w:val="left"/>
      <w:pPr>
        <w:ind w:left="4320" w:hanging="360"/>
      </w:pPr>
      <w:rPr>
        <w:rFonts w:ascii="Wingdings" w:hAnsi="Wingdings" w:hint="default"/>
      </w:rPr>
    </w:lvl>
    <w:lvl w:ilvl="6" w:tplc="E83A8850">
      <w:start w:val="1"/>
      <w:numFmt w:val="bullet"/>
      <w:lvlText w:val=""/>
      <w:lvlJc w:val="left"/>
      <w:pPr>
        <w:ind w:left="5040" w:hanging="360"/>
      </w:pPr>
      <w:rPr>
        <w:rFonts w:ascii="Symbol" w:hAnsi="Symbol" w:hint="default"/>
      </w:rPr>
    </w:lvl>
    <w:lvl w:ilvl="7" w:tplc="EADEF696">
      <w:start w:val="1"/>
      <w:numFmt w:val="bullet"/>
      <w:lvlText w:val="o"/>
      <w:lvlJc w:val="left"/>
      <w:pPr>
        <w:ind w:left="5760" w:hanging="360"/>
      </w:pPr>
      <w:rPr>
        <w:rFonts w:ascii="Courier New" w:hAnsi="Courier New" w:hint="default"/>
      </w:rPr>
    </w:lvl>
    <w:lvl w:ilvl="8" w:tplc="96360860">
      <w:start w:val="1"/>
      <w:numFmt w:val="bullet"/>
      <w:lvlText w:val=""/>
      <w:lvlJc w:val="left"/>
      <w:pPr>
        <w:ind w:left="6480" w:hanging="360"/>
      </w:pPr>
      <w:rPr>
        <w:rFonts w:ascii="Wingdings" w:hAnsi="Wingdings" w:hint="default"/>
      </w:rPr>
    </w:lvl>
  </w:abstractNum>
  <w:abstractNum w:abstractNumId="2" w15:restartNumberingAfterBreak="0">
    <w:nsid w:val="1F3B2750"/>
    <w:multiLevelType w:val="hybridMultilevel"/>
    <w:tmpl w:val="FFFFFFFF"/>
    <w:lvl w:ilvl="0" w:tplc="BF7C7808">
      <w:start w:val="1"/>
      <w:numFmt w:val="bullet"/>
      <w:lvlText w:val="-"/>
      <w:lvlJc w:val="left"/>
      <w:pPr>
        <w:ind w:left="720" w:hanging="360"/>
      </w:pPr>
      <w:rPr>
        <w:rFonts w:ascii="Calibri" w:hAnsi="Calibri" w:hint="default"/>
      </w:rPr>
    </w:lvl>
    <w:lvl w:ilvl="1" w:tplc="5394D8EE">
      <w:start w:val="1"/>
      <w:numFmt w:val="bullet"/>
      <w:lvlText w:val="o"/>
      <w:lvlJc w:val="left"/>
      <w:pPr>
        <w:ind w:left="1440" w:hanging="360"/>
      </w:pPr>
      <w:rPr>
        <w:rFonts w:ascii="Courier New" w:hAnsi="Courier New" w:hint="default"/>
      </w:rPr>
    </w:lvl>
    <w:lvl w:ilvl="2" w:tplc="C6D0D4F2">
      <w:start w:val="1"/>
      <w:numFmt w:val="bullet"/>
      <w:lvlText w:val=""/>
      <w:lvlJc w:val="left"/>
      <w:pPr>
        <w:ind w:left="2160" w:hanging="360"/>
      </w:pPr>
      <w:rPr>
        <w:rFonts w:ascii="Wingdings" w:hAnsi="Wingdings" w:hint="default"/>
      </w:rPr>
    </w:lvl>
    <w:lvl w:ilvl="3" w:tplc="03C87598">
      <w:start w:val="1"/>
      <w:numFmt w:val="bullet"/>
      <w:lvlText w:val=""/>
      <w:lvlJc w:val="left"/>
      <w:pPr>
        <w:ind w:left="2880" w:hanging="360"/>
      </w:pPr>
      <w:rPr>
        <w:rFonts w:ascii="Symbol" w:hAnsi="Symbol" w:hint="default"/>
      </w:rPr>
    </w:lvl>
    <w:lvl w:ilvl="4" w:tplc="D8108CB6">
      <w:start w:val="1"/>
      <w:numFmt w:val="bullet"/>
      <w:lvlText w:val="o"/>
      <w:lvlJc w:val="left"/>
      <w:pPr>
        <w:ind w:left="3600" w:hanging="360"/>
      </w:pPr>
      <w:rPr>
        <w:rFonts w:ascii="Courier New" w:hAnsi="Courier New" w:hint="default"/>
      </w:rPr>
    </w:lvl>
    <w:lvl w:ilvl="5" w:tplc="BFF00866">
      <w:start w:val="1"/>
      <w:numFmt w:val="bullet"/>
      <w:lvlText w:val=""/>
      <w:lvlJc w:val="left"/>
      <w:pPr>
        <w:ind w:left="4320" w:hanging="360"/>
      </w:pPr>
      <w:rPr>
        <w:rFonts w:ascii="Wingdings" w:hAnsi="Wingdings" w:hint="default"/>
      </w:rPr>
    </w:lvl>
    <w:lvl w:ilvl="6" w:tplc="6E9A95D6">
      <w:start w:val="1"/>
      <w:numFmt w:val="bullet"/>
      <w:lvlText w:val=""/>
      <w:lvlJc w:val="left"/>
      <w:pPr>
        <w:ind w:left="5040" w:hanging="360"/>
      </w:pPr>
      <w:rPr>
        <w:rFonts w:ascii="Symbol" w:hAnsi="Symbol" w:hint="default"/>
      </w:rPr>
    </w:lvl>
    <w:lvl w:ilvl="7" w:tplc="BA1C6DBC">
      <w:start w:val="1"/>
      <w:numFmt w:val="bullet"/>
      <w:lvlText w:val="o"/>
      <w:lvlJc w:val="left"/>
      <w:pPr>
        <w:ind w:left="5760" w:hanging="360"/>
      </w:pPr>
      <w:rPr>
        <w:rFonts w:ascii="Courier New" w:hAnsi="Courier New" w:hint="default"/>
      </w:rPr>
    </w:lvl>
    <w:lvl w:ilvl="8" w:tplc="58645D26">
      <w:start w:val="1"/>
      <w:numFmt w:val="bullet"/>
      <w:lvlText w:val=""/>
      <w:lvlJc w:val="left"/>
      <w:pPr>
        <w:ind w:left="6480" w:hanging="360"/>
      </w:pPr>
      <w:rPr>
        <w:rFonts w:ascii="Wingdings" w:hAnsi="Wingdings" w:hint="default"/>
      </w:rPr>
    </w:lvl>
  </w:abstractNum>
  <w:abstractNum w:abstractNumId="3" w15:restartNumberingAfterBreak="0">
    <w:nsid w:val="333777A8"/>
    <w:multiLevelType w:val="hybridMultilevel"/>
    <w:tmpl w:val="7AD6F37C"/>
    <w:lvl w:ilvl="0" w:tplc="8620024C">
      <w:start w:val="1"/>
      <w:numFmt w:val="bullet"/>
      <w:lvlText w:val=""/>
      <w:lvlJc w:val="left"/>
      <w:pPr>
        <w:ind w:left="720" w:hanging="360"/>
      </w:pPr>
      <w:rPr>
        <w:rFonts w:ascii="Symbol" w:hAnsi="Symbol" w:hint="default"/>
      </w:rPr>
    </w:lvl>
    <w:lvl w:ilvl="1" w:tplc="6428C7CA" w:tentative="1">
      <w:start w:val="1"/>
      <w:numFmt w:val="bullet"/>
      <w:lvlText w:val="o"/>
      <w:lvlJc w:val="left"/>
      <w:pPr>
        <w:ind w:left="1440" w:hanging="360"/>
      </w:pPr>
      <w:rPr>
        <w:rFonts w:ascii="Courier New" w:hAnsi="Courier New" w:cs="Courier New" w:hint="default"/>
      </w:rPr>
    </w:lvl>
    <w:lvl w:ilvl="2" w:tplc="4A949B68" w:tentative="1">
      <w:start w:val="1"/>
      <w:numFmt w:val="bullet"/>
      <w:lvlText w:val=""/>
      <w:lvlJc w:val="left"/>
      <w:pPr>
        <w:ind w:left="2160" w:hanging="360"/>
      </w:pPr>
      <w:rPr>
        <w:rFonts w:ascii="Wingdings" w:hAnsi="Wingdings" w:hint="default"/>
      </w:rPr>
    </w:lvl>
    <w:lvl w:ilvl="3" w:tplc="842ABDFC" w:tentative="1">
      <w:start w:val="1"/>
      <w:numFmt w:val="bullet"/>
      <w:lvlText w:val=""/>
      <w:lvlJc w:val="left"/>
      <w:pPr>
        <w:ind w:left="2880" w:hanging="360"/>
      </w:pPr>
      <w:rPr>
        <w:rFonts w:ascii="Symbol" w:hAnsi="Symbol" w:hint="default"/>
      </w:rPr>
    </w:lvl>
    <w:lvl w:ilvl="4" w:tplc="FFF26C8A" w:tentative="1">
      <w:start w:val="1"/>
      <w:numFmt w:val="bullet"/>
      <w:lvlText w:val="o"/>
      <w:lvlJc w:val="left"/>
      <w:pPr>
        <w:ind w:left="3600" w:hanging="360"/>
      </w:pPr>
      <w:rPr>
        <w:rFonts w:ascii="Courier New" w:hAnsi="Courier New" w:cs="Courier New" w:hint="default"/>
      </w:rPr>
    </w:lvl>
    <w:lvl w:ilvl="5" w:tplc="45A8C018" w:tentative="1">
      <w:start w:val="1"/>
      <w:numFmt w:val="bullet"/>
      <w:lvlText w:val=""/>
      <w:lvlJc w:val="left"/>
      <w:pPr>
        <w:ind w:left="4320" w:hanging="360"/>
      </w:pPr>
      <w:rPr>
        <w:rFonts w:ascii="Wingdings" w:hAnsi="Wingdings" w:hint="default"/>
      </w:rPr>
    </w:lvl>
    <w:lvl w:ilvl="6" w:tplc="F92EDBF8" w:tentative="1">
      <w:start w:val="1"/>
      <w:numFmt w:val="bullet"/>
      <w:lvlText w:val=""/>
      <w:lvlJc w:val="left"/>
      <w:pPr>
        <w:ind w:left="5040" w:hanging="360"/>
      </w:pPr>
      <w:rPr>
        <w:rFonts w:ascii="Symbol" w:hAnsi="Symbol" w:hint="default"/>
      </w:rPr>
    </w:lvl>
    <w:lvl w:ilvl="7" w:tplc="3808DBA0" w:tentative="1">
      <w:start w:val="1"/>
      <w:numFmt w:val="bullet"/>
      <w:lvlText w:val="o"/>
      <w:lvlJc w:val="left"/>
      <w:pPr>
        <w:ind w:left="5760" w:hanging="360"/>
      </w:pPr>
      <w:rPr>
        <w:rFonts w:ascii="Courier New" w:hAnsi="Courier New" w:cs="Courier New" w:hint="default"/>
      </w:rPr>
    </w:lvl>
    <w:lvl w:ilvl="8" w:tplc="108C1950" w:tentative="1">
      <w:start w:val="1"/>
      <w:numFmt w:val="bullet"/>
      <w:lvlText w:val=""/>
      <w:lvlJc w:val="left"/>
      <w:pPr>
        <w:ind w:left="6480" w:hanging="360"/>
      </w:pPr>
      <w:rPr>
        <w:rFonts w:ascii="Wingdings" w:hAnsi="Wingdings" w:hint="default"/>
      </w:rPr>
    </w:lvl>
  </w:abstractNum>
  <w:abstractNum w:abstractNumId="4" w15:restartNumberingAfterBreak="0">
    <w:nsid w:val="55DFE3FC"/>
    <w:multiLevelType w:val="hybridMultilevel"/>
    <w:tmpl w:val="FFFFFFFF"/>
    <w:lvl w:ilvl="0" w:tplc="460ED644">
      <w:start w:val="1"/>
      <w:numFmt w:val="bullet"/>
      <w:lvlText w:val="-"/>
      <w:lvlJc w:val="left"/>
      <w:pPr>
        <w:ind w:left="720" w:hanging="360"/>
      </w:pPr>
      <w:rPr>
        <w:rFonts w:ascii="Calibri" w:hAnsi="Calibri" w:hint="default"/>
      </w:rPr>
    </w:lvl>
    <w:lvl w:ilvl="1" w:tplc="8CB8E4A2">
      <w:start w:val="1"/>
      <w:numFmt w:val="bullet"/>
      <w:lvlText w:val="o"/>
      <w:lvlJc w:val="left"/>
      <w:pPr>
        <w:ind w:left="1440" w:hanging="360"/>
      </w:pPr>
      <w:rPr>
        <w:rFonts w:ascii="Courier New" w:hAnsi="Courier New" w:hint="default"/>
      </w:rPr>
    </w:lvl>
    <w:lvl w:ilvl="2" w:tplc="B7E69A70">
      <w:start w:val="1"/>
      <w:numFmt w:val="bullet"/>
      <w:lvlText w:val=""/>
      <w:lvlJc w:val="left"/>
      <w:pPr>
        <w:ind w:left="2160" w:hanging="360"/>
      </w:pPr>
      <w:rPr>
        <w:rFonts w:ascii="Wingdings" w:hAnsi="Wingdings" w:hint="default"/>
      </w:rPr>
    </w:lvl>
    <w:lvl w:ilvl="3" w:tplc="297278D2">
      <w:start w:val="1"/>
      <w:numFmt w:val="bullet"/>
      <w:lvlText w:val=""/>
      <w:lvlJc w:val="left"/>
      <w:pPr>
        <w:ind w:left="2880" w:hanging="360"/>
      </w:pPr>
      <w:rPr>
        <w:rFonts w:ascii="Symbol" w:hAnsi="Symbol" w:hint="default"/>
      </w:rPr>
    </w:lvl>
    <w:lvl w:ilvl="4" w:tplc="7B9218FC">
      <w:start w:val="1"/>
      <w:numFmt w:val="bullet"/>
      <w:lvlText w:val="o"/>
      <w:lvlJc w:val="left"/>
      <w:pPr>
        <w:ind w:left="3600" w:hanging="360"/>
      </w:pPr>
      <w:rPr>
        <w:rFonts w:ascii="Courier New" w:hAnsi="Courier New" w:hint="default"/>
      </w:rPr>
    </w:lvl>
    <w:lvl w:ilvl="5" w:tplc="C6AC4588">
      <w:start w:val="1"/>
      <w:numFmt w:val="bullet"/>
      <w:lvlText w:val=""/>
      <w:lvlJc w:val="left"/>
      <w:pPr>
        <w:ind w:left="4320" w:hanging="360"/>
      </w:pPr>
      <w:rPr>
        <w:rFonts w:ascii="Wingdings" w:hAnsi="Wingdings" w:hint="default"/>
      </w:rPr>
    </w:lvl>
    <w:lvl w:ilvl="6" w:tplc="F82C6D0C">
      <w:start w:val="1"/>
      <w:numFmt w:val="bullet"/>
      <w:lvlText w:val=""/>
      <w:lvlJc w:val="left"/>
      <w:pPr>
        <w:ind w:left="5040" w:hanging="360"/>
      </w:pPr>
      <w:rPr>
        <w:rFonts w:ascii="Symbol" w:hAnsi="Symbol" w:hint="default"/>
      </w:rPr>
    </w:lvl>
    <w:lvl w:ilvl="7" w:tplc="C018EC66">
      <w:start w:val="1"/>
      <w:numFmt w:val="bullet"/>
      <w:lvlText w:val="o"/>
      <w:lvlJc w:val="left"/>
      <w:pPr>
        <w:ind w:left="5760" w:hanging="360"/>
      </w:pPr>
      <w:rPr>
        <w:rFonts w:ascii="Courier New" w:hAnsi="Courier New" w:hint="default"/>
      </w:rPr>
    </w:lvl>
    <w:lvl w:ilvl="8" w:tplc="C6706A0A">
      <w:start w:val="1"/>
      <w:numFmt w:val="bullet"/>
      <w:lvlText w:val=""/>
      <w:lvlJc w:val="left"/>
      <w:pPr>
        <w:ind w:left="6480" w:hanging="360"/>
      </w:pPr>
      <w:rPr>
        <w:rFonts w:ascii="Wingdings" w:hAnsi="Wingdings" w:hint="default"/>
      </w:rPr>
    </w:lvl>
  </w:abstractNum>
  <w:abstractNum w:abstractNumId="5" w15:restartNumberingAfterBreak="0">
    <w:nsid w:val="5CBCF8EF"/>
    <w:multiLevelType w:val="hybridMultilevel"/>
    <w:tmpl w:val="FFFFFFFF"/>
    <w:lvl w:ilvl="0" w:tplc="2132002A">
      <w:start w:val="1"/>
      <w:numFmt w:val="bullet"/>
      <w:lvlText w:val="-"/>
      <w:lvlJc w:val="left"/>
      <w:pPr>
        <w:ind w:left="720" w:hanging="360"/>
      </w:pPr>
      <w:rPr>
        <w:rFonts w:ascii="Calibri" w:hAnsi="Calibri" w:hint="default"/>
      </w:rPr>
    </w:lvl>
    <w:lvl w:ilvl="1" w:tplc="AD3A10AC">
      <w:start w:val="1"/>
      <w:numFmt w:val="bullet"/>
      <w:lvlText w:val="o"/>
      <w:lvlJc w:val="left"/>
      <w:pPr>
        <w:ind w:left="1440" w:hanging="360"/>
      </w:pPr>
      <w:rPr>
        <w:rFonts w:ascii="Courier New" w:hAnsi="Courier New" w:hint="default"/>
      </w:rPr>
    </w:lvl>
    <w:lvl w:ilvl="2" w:tplc="DCF0974A">
      <w:start w:val="1"/>
      <w:numFmt w:val="bullet"/>
      <w:lvlText w:val=""/>
      <w:lvlJc w:val="left"/>
      <w:pPr>
        <w:ind w:left="2160" w:hanging="360"/>
      </w:pPr>
      <w:rPr>
        <w:rFonts w:ascii="Wingdings" w:hAnsi="Wingdings" w:hint="default"/>
      </w:rPr>
    </w:lvl>
    <w:lvl w:ilvl="3" w:tplc="7FD6A704">
      <w:start w:val="1"/>
      <w:numFmt w:val="bullet"/>
      <w:lvlText w:val=""/>
      <w:lvlJc w:val="left"/>
      <w:pPr>
        <w:ind w:left="2880" w:hanging="360"/>
      </w:pPr>
      <w:rPr>
        <w:rFonts w:ascii="Symbol" w:hAnsi="Symbol" w:hint="default"/>
      </w:rPr>
    </w:lvl>
    <w:lvl w:ilvl="4" w:tplc="C2CE01C0">
      <w:start w:val="1"/>
      <w:numFmt w:val="bullet"/>
      <w:lvlText w:val="o"/>
      <w:lvlJc w:val="left"/>
      <w:pPr>
        <w:ind w:left="3600" w:hanging="360"/>
      </w:pPr>
      <w:rPr>
        <w:rFonts w:ascii="Courier New" w:hAnsi="Courier New" w:hint="default"/>
      </w:rPr>
    </w:lvl>
    <w:lvl w:ilvl="5" w:tplc="6DFA822C">
      <w:start w:val="1"/>
      <w:numFmt w:val="bullet"/>
      <w:lvlText w:val=""/>
      <w:lvlJc w:val="left"/>
      <w:pPr>
        <w:ind w:left="4320" w:hanging="360"/>
      </w:pPr>
      <w:rPr>
        <w:rFonts w:ascii="Wingdings" w:hAnsi="Wingdings" w:hint="default"/>
      </w:rPr>
    </w:lvl>
    <w:lvl w:ilvl="6" w:tplc="618C8C34">
      <w:start w:val="1"/>
      <w:numFmt w:val="bullet"/>
      <w:lvlText w:val=""/>
      <w:lvlJc w:val="left"/>
      <w:pPr>
        <w:ind w:left="5040" w:hanging="360"/>
      </w:pPr>
      <w:rPr>
        <w:rFonts w:ascii="Symbol" w:hAnsi="Symbol" w:hint="default"/>
      </w:rPr>
    </w:lvl>
    <w:lvl w:ilvl="7" w:tplc="37E84150">
      <w:start w:val="1"/>
      <w:numFmt w:val="bullet"/>
      <w:lvlText w:val="o"/>
      <w:lvlJc w:val="left"/>
      <w:pPr>
        <w:ind w:left="5760" w:hanging="360"/>
      </w:pPr>
      <w:rPr>
        <w:rFonts w:ascii="Courier New" w:hAnsi="Courier New" w:hint="default"/>
      </w:rPr>
    </w:lvl>
    <w:lvl w:ilvl="8" w:tplc="13144EEE">
      <w:start w:val="1"/>
      <w:numFmt w:val="bullet"/>
      <w:lvlText w:val=""/>
      <w:lvlJc w:val="left"/>
      <w:pPr>
        <w:ind w:left="6480" w:hanging="360"/>
      </w:pPr>
      <w:rPr>
        <w:rFonts w:ascii="Wingdings" w:hAnsi="Wingdings" w:hint="default"/>
      </w:rPr>
    </w:lvl>
  </w:abstractNum>
  <w:abstractNum w:abstractNumId="6" w15:restartNumberingAfterBreak="0">
    <w:nsid w:val="732A1B6D"/>
    <w:multiLevelType w:val="hybridMultilevel"/>
    <w:tmpl w:val="FFFFFFFF"/>
    <w:lvl w:ilvl="0" w:tplc="27148DBA">
      <w:start w:val="1"/>
      <w:numFmt w:val="bullet"/>
      <w:lvlText w:val="-"/>
      <w:lvlJc w:val="left"/>
      <w:pPr>
        <w:ind w:left="720" w:hanging="360"/>
      </w:pPr>
      <w:rPr>
        <w:rFonts w:ascii="Calibri" w:hAnsi="Calibri" w:hint="default"/>
      </w:rPr>
    </w:lvl>
    <w:lvl w:ilvl="1" w:tplc="8EC80182">
      <w:start w:val="1"/>
      <w:numFmt w:val="bullet"/>
      <w:lvlText w:val="o"/>
      <w:lvlJc w:val="left"/>
      <w:pPr>
        <w:ind w:left="1440" w:hanging="360"/>
      </w:pPr>
      <w:rPr>
        <w:rFonts w:ascii="Courier New" w:hAnsi="Courier New" w:hint="default"/>
      </w:rPr>
    </w:lvl>
    <w:lvl w:ilvl="2" w:tplc="16482BDA">
      <w:start w:val="1"/>
      <w:numFmt w:val="bullet"/>
      <w:lvlText w:val=""/>
      <w:lvlJc w:val="left"/>
      <w:pPr>
        <w:ind w:left="2160" w:hanging="360"/>
      </w:pPr>
      <w:rPr>
        <w:rFonts w:ascii="Wingdings" w:hAnsi="Wingdings" w:hint="default"/>
      </w:rPr>
    </w:lvl>
    <w:lvl w:ilvl="3" w:tplc="B21422D2">
      <w:start w:val="1"/>
      <w:numFmt w:val="bullet"/>
      <w:lvlText w:val=""/>
      <w:lvlJc w:val="left"/>
      <w:pPr>
        <w:ind w:left="2880" w:hanging="360"/>
      </w:pPr>
      <w:rPr>
        <w:rFonts w:ascii="Symbol" w:hAnsi="Symbol" w:hint="default"/>
      </w:rPr>
    </w:lvl>
    <w:lvl w:ilvl="4" w:tplc="1ADCEDFE">
      <w:start w:val="1"/>
      <w:numFmt w:val="bullet"/>
      <w:lvlText w:val="o"/>
      <w:lvlJc w:val="left"/>
      <w:pPr>
        <w:ind w:left="3600" w:hanging="360"/>
      </w:pPr>
      <w:rPr>
        <w:rFonts w:ascii="Courier New" w:hAnsi="Courier New" w:hint="default"/>
      </w:rPr>
    </w:lvl>
    <w:lvl w:ilvl="5" w:tplc="D0FAB982">
      <w:start w:val="1"/>
      <w:numFmt w:val="bullet"/>
      <w:lvlText w:val=""/>
      <w:lvlJc w:val="left"/>
      <w:pPr>
        <w:ind w:left="4320" w:hanging="360"/>
      </w:pPr>
      <w:rPr>
        <w:rFonts w:ascii="Wingdings" w:hAnsi="Wingdings" w:hint="default"/>
      </w:rPr>
    </w:lvl>
    <w:lvl w:ilvl="6" w:tplc="1EF0315E">
      <w:start w:val="1"/>
      <w:numFmt w:val="bullet"/>
      <w:lvlText w:val=""/>
      <w:lvlJc w:val="left"/>
      <w:pPr>
        <w:ind w:left="5040" w:hanging="360"/>
      </w:pPr>
      <w:rPr>
        <w:rFonts w:ascii="Symbol" w:hAnsi="Symbol" w:hint="default"/>
      </w:rPr>
    </w:lvl>
    <w:lvl w:ilvl="7" w:tplc="3F8A0DC6">
      <w:start w:val="1"/>
      <w:numFmt w:val="bullet"/>
      <w:lvlText w:val="o"/>
      <w:lvlJc w:val="left"/>
      <w:pPr>
        <w:ind w:left="5760" w:hanging="360"/>
      </w:pPr>
      <w:rPr>
        <w:rFonts w:ascii="Courier New" w:hAnsi="Courier New" w:hint="default"/>
      </w:rPr>
    </w:lvl>
    <w:lvl w:ilvl="8" w:tplc="D83E5688">
      <w:start w:val="1"/>
      <w:numFmt w:val="bullet"/>
      <w:lvlText w:val=""/>
      <w:lvlJc w:val="left"/>
      <w:pPr>
        <w:ind w:left="6480" w:hanging="360"/>
      </w:pPr>
      <w:rPr>
        <w:rFonts w:ascii="Wingdings" w:hAnsi="Wingdings" w:hint="default"/>
      </w:rPr>
    </w:lvl>
  </w:abstractNum>
  <w:abstractNum w:abstractNumId="7" w15:restartNumberingAfterBreak="0">
    <w:nsid w:val="7BB4A454"/>
    <w:multiLevelType w:val="hybridMultilevel"/>
    <w:tmpl w:val="FFFFFFFF"/>
    <w:lvl w:ilvl="0" w:tplc="C5DC20EE">
      <w:start w:val="1"/>
      <w:numFmt w:val="bullet"/>
      <w:lvlText w:val="-"/>
      <w:lvlJc w:val="left"/>
      <w:pPr>
        <w:ind w:left="720" w:hanging="360"/>
      </w:pPr>
      <w:rPr>
        <w:rFonts w:ascii="Calibri" w:hAnsi="Calibri" w:hint="default"/>
      </w:rPr>
    </w:lvl>
    <w:lvl w:ilvl="1" w:tplc="B0EE1B78">
      <w:start w:val="1"/>
      <w:numFmt w:val="bullet"/>
      <w:lvlText w:val="o"/>
      <w:lvlJc w:val="left"/>
      <w:pPr>
        <w:ind w:left="1440" w:hanging="360"/>
      </w:pPr>
      <w:rPr>
        <w:rFonts w:ascii="Courier New" w:hAnsi="Courier New" w:hint="default"/>
      </w:rPr>
    </w:lvl>
    <w:lvl w:ilvl="2" w:tplc="508A0EFA">
      <w:start w:val="1"/>
      <w:numFmt w:val="bullet"/>
      <w:lvlText w:val=""/>
      <w:lvlJc w:val="left"/>
      <w:pPr>
        <w:ind w:left="2160" w:hanging="360"/>
      </w:pPr>
      <w:rPr>
        <w:rFonts w:ascii="Wingdings" w:hAnsi="Wingdings" w:hint="default"/>
      </w:rPr>
    </w:lvl>
    <w:lvl w:ilvl="3" w:tplc="034CC0A4">
      <w:start w:val="1"/>
      <w:numFmt w:val="bullet"/>
      <w:lvlText w:val=""/>
      <w:lvlJc w:val="left"/>
      <w:pPr>
        <w:ind w:left="2880" w:hanging="360"/>
      </w:pPr>
      <w:rPr>
        <w:rFonts w:ascii="Symbol" w:hAnsi="Symbol" w:hint="default"/>
      </w:rPr>
    </w:lvl>
    <w:lvl w:ilvl="4" w:tplc="EDA42A62">
      <w:start w:val="1"/>
      <w:numFmt w:val="bullet"/>
      <w:lvlText w:val="o"/>
      <w:lvlJc w:val="left"/>
      <w:pPr>
        <w:ind w:left="3600" w:hanging="360"/>
      </w:pPr>
      <w:rPr>
        <w:rFonts w:ascii="Courier New" w:hAnsi="Courier New" w:hint="default"/>
      </w:rPr>
    </w:lvl>
    <w:lvl w:ilvl="5" w:tplc="6F64EA56">
      <w:start w:val="1"/>
      <w:numFmt w:val="bullet"/>
      <w:lvlText w:val=""/>
      <w:lvlJc w:val="left"/>
      <w:pPr>
        <w:ind w:left="4320" w:hanging="360"/>
      </w:pPr>
      <w:rPr>
        <w:rFonts w:ascii="Wingdings" w:hAnsi="Wingdings" w:hint="default"/>
      </w:rPr>
    </w:lvl>
    <w:lvl w:ilvl="6" w:tplc="96D6393E">
      <w:start w:val="1"/>
      <w:numFmt w:val="bullet"/>
      <w:lvlText w:val=""/>
      <w:lvlJc w:val="left"/>
      <w:pPr>
        <w:ind w:left="5040" w:hanging="360"/>
      </w:pPr>
      <w:rPr>
        <w:rFonts w:ascii="Symbol" w:hAnsi="Symbol" w:hint="default"/>
      </w:rPr>
    </w:lvl>
    <w:lvl w:ilvl="7" w:tplc="7F36996C">
      <w:start w:val="1"/>
      <w:numFmt w:val="bullet"/>
      <w:lvlText w:val="o"/>
      <w:lvlJc w:val="left"/>
      <w:pPr>
        <w:ind w:left="5760" w:hanging="360"/>
      </w:pPr>
      <w:rPr>
        <w:rFonts w:ascii="Courier New" w:hAnsi="Courier New" w:hint="default"/>
      </w:rPr>
    </w:lvl>
    <w:lvl w:ilvl="8" w:tplc="6772EDF4">
      <w:start w:val="1"/>
      <w:numFmt w:val="bullet"/>
      <w:lvlText w:val=""/>
      <w:lvlJc w:val="left"/>
      <w:pPr>
        <w:ind w:left="6480" w:hanging="360"/>
      </w:pPr>
      <w:rPr>
        <w:rFonts w:ascii="Wingdings" w:hAnsi="Wingdings" w:hint="default"/>
      </w:rPr>
    </w:lvl>
  </w:abstractNum>
  <w:num w:numId="1" w16cid:durableId="1492256491">
    <w:abstractNumId w:val="5"/>
  </w:num>
  <w:num w:numId="2" w16cid:durableId="1458909585">
    <w:abstractNumId w:val="7"/>
  </w:num>
  <w:num w:numId="3" w16cid:durableId="1717704498">
    <w:abstractNumId w:val="1"/>
  </w:num>
  <w:num w:numId="4" w16cid:durableId="1397784170">
    <w:abstractNumId w:val="2"/>
  </w:num>
  <w:num w:numId="5" w16cid:durableId="655692620">
    <w:abstractNumId w:val="6"/>
  </w:num>
  <w:num w:numId="6" w16cid:durableId="1956709257">
    <w:abstractNumId w:val="4"/>
  </w:num>
  <w:num w:numId="7" w16cid:durableId="11497532">
    <w:abstractNumId w:val="0"/>
  </w:num>
  <w:num w:numId="8" w16cid:durableId="1450198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13F"/>
    <w:rsid w:val="000167BA"/>
    <w:rsid w:val="0006219E"/>
    <w:rsid w:val="000A643D"/>
    <w:rsid w:val="00113CF6"/>
    <w:rsid w:val="0019352C"/>
    <w:rsid w:val="001B5F5B"/>
    <w:rsid w:val="002E36E4"/>
    <w:rsid w:val="002E555D"/>
    <w:rsid w:val="00341690"/>
    <w:rsid w:val="0037637B"/>
    <w:rsid w:val="003A055D"/>
    <w:rsid w:val="003A467D"/>
    <w:rsid w:val="0043226D"/>
    <w:rsid w:val="00434AD0"/>
    <w:rsid w:val="004734CA"/>
    <w:rsid w:val="004805B7"/>
    <w:rsid w:val="004D33BA"/>
    <w:rsid w:val="00502452"/>
    <w:rsid w:val="00512FB4"/>
    <w:rsid w:val="005529F2"/>
    <w:rsid w:val="00553619"/>
    <w:rsid w:val="00576A23"/>
    <w:rsid w:val="0059538D"/>
    <w:rsid w:val="00677990"/>
    <w:rsid w:val="00696F09"/>
    <w:rsid w:val="006C6E88"/>
    <w:rsid w:val="007116AF"/>
    <w:rsid w:val="00725FB3"/>
    <w:rsid w:val="007310B5"/>
    <w:rsid w:val="007B0F35"/>
    <w:rsid w:val="00874332"/>
    <w:rsid w:val="0087632F"/>
    <w:rsid w:val="0087665F"/>
    <w:rsid w:val="008A01FD"/>
    <w:rsid w:val="00960AB0"/>
    <w:rsid w:val="00986D2F"/>
    <w:rsid w:val="00996849"/>
    <w:rsid w:val="009B4482"/>
    <w:rsid w:val="009D761A"/>
    <w:rsid w:val="009E0D30"/>
    <w:rsid w:val="00A07B95"/>
    <w:rsid w:val="00A27BA2"/>
    <w:rsid w:val="00A62395"/>
    <w:rsid w:val="00A7613F"/>
    <w:rsid w:val="00A959D9"/>
    <w:rsid w:val="00AA248E"/>
    <w:rsid w:val="00AA7F94"/>
    <w:rsid w:val="00AE7326"/>
    <w:rsid w:val="00B00886"/>
    <w:rsid w:val="00BD1B71"/>
    <w:rsid w:val="00C04150"/>
    <w:rsid w:val="00C87CEC"/>
    <w:rsid w:val="00CB0430"/>
    <w:rsid w:val="00CD5994"/>
    <w:rsid w:val="00D42DE1"/>
    <w:rsid w:val="00DA064E"/>
    <w:rsid w:val="00DB69CB"/>
    <w:rsid w:val="00E85A8F"/>
    <w:rsid w:val="00F14746"/>
    <w:rsid w:val="00F4207F"/>
    <w:rsid w:val="00F81AC2"/>
    <w:rsid w:val="00FB32F1"/>
    <w:rsid w:val="00FD6B43"/>
    <w:rsid w:val="03BF734D"/>
    <w:rsid w:val="6BF8CC82"/>
    <w:rsid w:val="6D4F8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76A7F"/>
  <w15:chartTrackingRefBased/>
  <w15:docId w15:val="{A0A5829B-7D75-4EDA-98A9-81CA857D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13F"/>
    <w:pPr>
      <w:spacing w:after="0" w:line="240" w:lineRule="auto"/>
    </w:pPr>
    <w:rPr>
      <w:rFonts w:ascii="Calibri" w:eastAsia="Calibri" w:hAnsi="Calibri"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Akapit z listą BS,Bullet1,Bullets,Citation List,Ha,List Paragraph (numbered (a)),List Paragraph1,List_Paragraph,Liste 1,Main numbered paragraph,Multilevel para_II,NUMBERED PARAGRAPH,Numbered List Paragraph,NumberedParas,References,본문(내용)"/>
    <w:basedOn w:val="a"/>
    <w:link w:val="a4"/>
    <w:uiPriority w:val="34"/>
    <w:qFormat/>
    <w:rsid w:val="00A7613F"/>
    <w:pPr>
      <w:widowControl w:val="0"/>
      <w:autoSpaceDE w:val="0"/>
      <w:autoSpaceDN w:val="0"/>
      <w:adjustRightInd w:val="0"/>
      <w:ind w:left="720"/>
      <w:contextualSpacing/>
    </w:pPr>
    <w:rPr>
      <w:rFonts w:ascii="Arial" w:eastAsiaTheme="minorEastAsia" w:hAnsi="Arial"/>
      <w:color w:val="000000"/>
      <w:sz w:val="24"/>
      <w:szCs w:val="24"/>
    </w:rPr>
  </w:style>
  <w:style w:type="character" w:customStyle="1" w:styleId="a4">
    <w:name w:val="Абзац списку Знак"/>
    <w:aliases w:val="Akapit z listą BS Знак,Bullet1 Знак,Bullets Знак,Citation List Знак,Ha Знак,List Paragraph (numbered (a)) Знак,List Paragraph1 Знак,List_Paragraph Знак,Liste 1 Знак,Main numbered paragraph Знак,Multilevel para_II Знак,References Знак"/>
    <w:link w:val="a3"/>
    <w:uiPriority w:val="34"/>
    <w:rsid w:val="00A7613F"/>
    <w:rPr>
      <w:rFonts w:ascii="Arial" w:eastAsiaTheme="minorEastAsia" w:hAnsi="Arial" w:cs="Arial"/>
      <w:color w:val="000000"/>
      <w:sz w:val="24"/>
      <w:szCs w:val="24"/>
    </w:rPr>
  </w:style>
  <w:style w:type="table" w:styleId="a5">
    <w:name w:val="Table Grid"/>
    <w:basedOn w:val="a1"/>
    <w:uiPriority w:val="39"/>
    <w:rsid w:val="00A76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7613F"/>
    <w:pPr>
      <w:tabs>
        <w:tab w:val="center" w:pos="4680"/>
        <w:tab w:val="right" w:pos="9360"/>
      </w:tabs>
    </w:pPr>
  </w:style>
  <w:style w:type="character" w:customStyle="1" w:styleId="a7">
    <w:name w:val="Верхній колонтитул Знак"/>
    <w:basedOn w:val="a0"/>
    <w:link w:val="a6"/>
    <w:uiPriority w:val="99"/>
    <w:rsid w:val="00A7613F"/>
    <w:rPr>
      <w:rFonts w:ascii="Calibri" w:eastAsia="Calibri" w:hAnsi="Calibri" w:cs="Arial"/>
      <w:sz w:val="20"/>
      <w:szCs w:val="20"/>
    </w:rPr>
  </w:style>
  <w:style w:type="paragraph" w:styleId="a8">
    <w:name w:val="footer"/>
    <w:basedOn w:val="a"/>
    <w:link w:val="a9"/>
    <w:uiPriority w:val="99"/>
    <w:unhideWhenUsed/>
    <w:rsid w:val="00A7613F"/>
    <w:pPr>
      <w:tabs>
        <w:tab w:val="center" w:pos="4680"/>
        <w:tab w:val="right" w:pos="9360"/>
      </w:tabs>
    </w:pPr>
  </w:style>
  <w:style w:type="character" w:customStyle="1" w:styleId="a9">
    <w:name w:val="Нижній колонтитул Знак"/>
    <w:basedOn w:val="a0"/>
    <w:link w:val="a8"/>
    <w:uiPriority w:val="99"/>
    <w:rsid w:val="00A7613F"/>
    <w:rPr>
      <w:rFonts w:ascii="Calibri" w:eastAsia="Calibri" w:hAnsi="Calibri" w:cs="Arial"/>
      <w:sz w:val="20"/>
      <w:szCs w:val="20"/>
    </w:rPr>
  </w:style>
  <w:style w:type="table" w:customStyle="1" w:styleId="TableGrid1">
    <w:name w:val="Table Grid1"/>
    <w:basedOn w:val="a1"/>
    <w:next w:val="a5"/>
    <w:uiPriority w:val="39"/>
    <w:rsid w:val="00A7613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sDocumentTagged xmlns="1c2f5353-c1dc-44e7-aa1d-01bc3bad11f3" xsi:nil="true"/>
    <Ratings xmlns="http://schemas.microsoft.com/sharepoint/v3" xsi:nil="true"/>
    <SubmitToImageBank xmlns="1c2f5353-c1dc-44e7-aa1d-01bc3bad11f3" xsi:nil="true"/>
    <LikedBy xmlns="http://schemas.microsoft.com/sharepoint/v3">
      <UserInfo>
        <DisplayName/>
        <AccountId xsi:nil="true"/>
        <AccountType/>
      </UserInfo>
    </LikedBy>
    <ProofOfDelivery xmlns="1c2f5353-c1dc-44e7-aa1d-01bc3bad11f3" xsi:nil="true"/>
    <PublishingExpirationDate xmlns="http://schemas.microsoft.com/sharepoint/v3" xsi:nil="true"/>
    <PublishingStartDate xmlns="http://schemas.microsoft.com/sharepoint/v3" xsi:nil="true"/>
    <WbDocsObjectId xmlns="1c2f5353-c1dc-44e7-aa1d-01bc3bad11f3" xsi:nil="true"/>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F4E3F296E93A419244A89ED89515AC" ma:contentTypeVersion="7" ma:contentTypeDescription="Create a new document." ma:contentTypeScope="" ma:versionID="fd2a42f7b8234eb557c30ae3ec5e73e8">
  <xsd:schema xmlns:xsd="http://www.w3.org/2001/XMLSchema" xmlns:xs="http://www.w3.org/2001/XMLSchema" xmlns:p="http://schemas.microsoft.com/office/2006/metadata/properties" xmlns:ns1="http://schemas.microsoft.com/sharepoint/v3" xmlns:ns2="1c2f5353-c1dc-44e7-aa1d-01bc3bad11f3" targetNamespace="http://schemas.microsoft.com/office/2006/metadata/properties" ma:root="true" ma:fieldsID="efee02f7568058650103f49e7d94ef40" ns1:_="" ns2:_="">
    <xsd:import namespace="http://schemas.microsoft.com/sharepoint/v3"/>
    <xsd:import namespace="1c2f5353-c1dc-44e7-aa1d-01bc3bad11f3"/>
    <xsd:element name="properties">
      <xsd:complexType>
        <xsd:sequence>
          <xsd:element name="documentManagement">
            <xsd:complexType>
              <xsd:all>
                <xsd:element ref="ns2:WbDocsObjectId" minOccurs="0"/>
                <xsd:element ref="ns2:SubmitToImageBank" minOccurs="0"/>
                <xsd:element ref="ns2:ProofOfDelivery" minOccurs="0"/>
                <xsd:element ref="ns2:IsDocumentTagged" minOccurs="0"/>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2" nillable="true" ma:displayName="Rating (0-5)" ma:decimals="2" ma:description="Average value of all the ratings that have been submitted" ma:internalName="AverageRating" ma:readOnly="true">
      <xsd:simpleType>
        <xsd:restriction base="dms:Number"/>
      </xsd:simpleType>
    </xsd:element>
    <xsd:element name="RatingCount" ma:index="13" nillable="true" ma:displayName="Number of Ratings" ma:decimals="0" ma:description="Number of ratings submitted" ma:internalName="RatingCount" ma:readOnly="true">
      <xsd:simpleType>
        <xsd:restriction base="dms:Number"/>
      </xsd:simpleType>
    </xsd:element>
    <xsd:element name="RatedBy" ma:index="1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User ratings" ma:description="User ratings for the item" ma:hidden="true" ma:internalName="Ratings">
      <xsd:simpleType>
        <xsd:restriction base="dms:Note"/>
      </xsd:simpleType>
    </xsd:element>
    <xsd:element name="LikesCount" ma:index="16" nillable="true" ma:displayName="Number of Likes" ma:internalName="LikesCount">
      <xsd:simpleType>
        <xsd:restriction base="dms:Unknown"/>
      </xsd:simpleType>
    </xsd:element>
    <xsd:element name="LikedBy" ma:index="1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2f5353-c1dc-44e7-aa1d-01bc3bad11f3" elementFormDefault="qualified">
    <xsd:import namespace="http://schemas.microsoft.com/office/2006/documentManagement/types"/>
    <xsd:import namespace="http://schemas.microsoft.com/office/infopath/2007/PartnerControls"/>
    <xsd:element name="WbDocsObjectId" ma:index="8" nillable="true" ma:displayName="WbDocsObjectId" ma:internalName="WbDocsObjectId">
      <xsd:simpleType>
        <xsd:restriction base="dms:Text">
          <xsd:maxLength value="255"/>
        </xsd:restriction>
      </xsd:simpleType>
    </xsd:element>
    <xsd:element name="SubmitToImageBank" ma:index="9" nillable="true" ma:displayName="SubmitToImageBank" ma:internalName="SubmitToImageBank">
      <xsd:simpleType>
        <xsd:restriction base="dms:Text">
          <xsd:maxLength value="255"/>
        </xsd:restriction>
      </xsd:simpleType>
    </xsd:element>
    <xsd:element name="ProofOfDelivery" ma:index="10" nillable="true" ma:displayName="ProofOfDelivery" ma:internalName="ProofOfDelivery">
      <xsd:simpleType>
        <xsd:restriction base="dms:Text">
          <xsd:maxLength value="255"/>
        </xsd:restriction>
      </xsd:simpleType>
    </xsd:element>
    <xsd:element name="IsDocumentTagged" ma:index="11" nillable="true" ma:displayName="IsDocumentTagged" ma:internalName="IsDocumentTagg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259D00-113D-4A84-8026-E59C3D92FA04}">
  <ds:schemaRefs>
    <ds:schemaRef ds:uri="http://schemas.microsoft.com/sharepoint/v3/contenttype/forms"/>
  </ds:schemaRefs>
</ds:datastoreItem>
</file>

<file path=customXml/itemProps2.xml><?xml version="1.0" encoding="utf-8"?>
<ds:datastoreItem xmlns:ds="http://schemas.openxmlformats.org/officeDocument/2006/customXml" ds:itemID="{76106836-FD6A-417E-8393-F21972BE0E8C}">
  <ds:schemaRefs>
    <ds:schemaRef ds:uri="http://schemas.microsoft.com/office/2006/metadata/properties"/>
    <ds:schemaRef ds:uri="http://schemas.microsoft.com/office/infopath/2007/PartnerControls"/>
    <ds:schemaRef ds:uri="http://schemas.microsoft.com/sharepoint/v3"/>
    <ds:schemaRef ds:uri="1c2f5353-c1dc-44e7-aa1d-01bc3bad11f3"/>
  </ds:schemaRefs>
</ds:datastoreItem>
</file>

<file path=customXml/itemProps3.xml><?xml version="1.0" encoding="utf-8"?>
<ds:datastoreItem xmlns:ds="http://schemas.openxmlformats.org/officeDocument/2006/customXml" ds:itemID="{411AE89A-2691-4269-906B-4F03D7E94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2f5353-c1dc-44e7-aa1d-01bc3bad1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14</Pages>
  <Words>19642</Words>
  <Characters>11196</Characters>
  <Application>Microsoft Office Word</Application>
  <DocSecurity>0</DocSecurity>
  <Lines>93</Lines>
  <Paragraphs>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Stakeholder Engagement Plan</vt:lpstr>
      <vt:lpstr/>
    </vt:vector>
  </TitlesOfParts>
  <Company/>
  <LinksUpToDate>false</LinksUpToDate>
  <CharactersWithSpaces>30777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Stakeholder Engagement Plan</dc:title>
  <dc:creator>Mariia Nikitova</dc:creator>
  <cp:lastModifiedBy>Зураб Маісурадзе</cp:lastModifiedBy>
  <cp:revision>14</cp:revision>
  <dcterms:created xsi:type="dcterms:W3CDTF">2022-11-08T12:29:00Z</dcterms:created>
  <dcterms:modified xsi:type="dcterms:W3CDTF">2022-11-08T16:08:00Z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0x01010071F4E3F296E93A419244A89ED89515AC</vt:lpwstr>
  </property>
  <property fmtid="{D5CDD505-2E9C-101B-9397-08002B2CF9AE}" pid="3" name="Cordis ID">
    <vt:lpwstr>PROJDOCSEP001</vt:lpwstr>
  </property>
  <property fmtid="{D5CDD505-2E9C-101B-9397-08002B2CF9AE}" pid="4" name="DocStatus">
    <vt:lpwstr>21</vt:lpwstr>
  </property>
  <property fmtid="{D5CDD505-2E9C-101B-9397-08002B2CF9AE}" pid="5" name="HasUserUploaded">
    <vt:bool>true</vt:bool>
  </property>
  <property fmtid="{D5CDD505-2E9C-101B-9397-08002B2CF9AE}" pid="6" name="IsTemplate">
    <vt:bool>false</vt:bool>
  </property>
  <property fmtid="{D5CDD505-2E9C-101B-9397-08002B2CF9AE}" pid="7" name="LockStatus">
    <vt:lpwstr/>
  </property>
  <property fmtid="{D5CDD505-2E9C-101B-9397-08002B2CF9AE}" pid="8" name="ProjectID">
    <vt:lpwstr>P180245</vt:lpwstr>
  </property>
  <property fmtid="{D5CDD505-2E9C-101B-9397-08002B2CF9AE}" pid="9" name="Stage">
    <vt:lpwstr>APR</vt:lpwstr>
  </property>
  <property fmtid="{D5CDD505-2E9C-101B-9397-08002B2CF9AE}" pid="10" name="Task ID">
    <vt:lpwstr>PRC0079587</vt:lpwstr>
  </property>
  <property fmtid="{D5CDD505-2E9C-101B-9397-08002B2CF9AE}" pid="11" name="WBDocType">
    <vt:lpwstr/>
  </property>
</Properties>
</file>