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84" w:rsidRPr="007E0484" w:rsidRDefault="007E0484" w:rsidP="007E0484">
      <w:pPr>
        <w:shd w:val="clear" w:color="auto" w:fill="FFFFFF"/>
        <w:spacing w:after="0" w:line="240" w:lineRule="auto"/>
        <w:jc w:val="center"/>
        <w:rPr>
          <w:rFonts w:ascii="Tahoma" w:eastAsia="Times New Roman" w:hAnsi="Tahoma" w:cs="Tahoma"/>
          <w:noProof w:val="0"/>
          <w:color w:val="525252"/>
          <w:sz w:val="19"/>
          <w:szCs w:val="19"/>
          <w:lang w:val="ru-RU" w:eastAsia="ru-RU"/>
        </w:rPr>
      </w:pPr>
      <w:r w:rsidRPr="007E0484">
        <w:rPr>
          <w:rFonts w:ascii="Tahoma" w:eastAsia="Times New Roman" w:hAnsi="Tahoma" w:cs="Tahoma"/>
          <w:b/>
          <w:bCs/>
          <w:noProof w:val="0"/>
          <w:color w:val="525252"/>
          <w:sz w:val="19"/>
          <w:szCs w:val="19"/>
          <w:lang w:val="ru-RU" w:eastAsia="ru-RU"/>
        </w:rPr>
        <w:t>ПРОТОКОЛ</w:t>
      </w:r>
      <w:r w:rsidRPr="007E0484">
        <w:rPr>
          <w:rFonts w:ascii="Tahoma" w:eastAsia="Times New Roman" w:hAnsi="Tahoma" w:cs="Tahoma"/>
          <w:noProof w:val="0"/>
          <w:color w:val="525252"/>
          <w:sz w:val="19"/>
          <w:szCs w:val="19"/>
          <w:lang w:val="ru-RU" w:eastAsia="ru-RU"/>
        </w:rPr>
        <w:br/>
        <w:t>першого засідання Громадської ради</w:t>
      </w:r>
      <w:r w:rsidRPr="007E0484">
        <w:rPr>
          <w:rFonts w:ascii="Tahoma" w:eastAsia="Times New Roman" w:hAnsi="Tahoma" w:cs="Tahoma"/>
          <w:noProof w:val="0"/>
          <w:color w:val="525252"/>
          <w:sz w:val="19"/>
          <w:szCs w:val="19"/>
          <w:lang w:val="ru-RU" w:eastAsia="ru-RU"/>
        </w:rPr>
        <w:br/>
        <w:t>при Міністерстві охорони України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м. Київ, вул. Грушевського, 7, Міністерства охорони здоров’я України (далі – «Міністерство» або «МОЗ України»)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08 червня 2017 року</w:t>
      </w:r>
    </w:p>
    <w:p w:rsidR="007E0484" w:rsidRPr="007E0484" w:rsidRDefault="007E0484" w:rsidP="007E0484">
      <w:pPr>
        <w:shd w:val="clear" w:color="auto" w:fill="FFFFFF"/>
        <w:spacing w:after="0"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b/>
          <w:bCs/>
          <w:noProof w:val="0"/>
          <w:color w:val="525252"/>
          <w:sz w:val="19"/>
          <w:szCs w:val="19"/>
          <w:lang w:val="ru-RU" w:eastAsia="ru-RU"/>
        </w:rPr>
        <w:t>Присутні</w:t>
      </w:r>
      <w:r w:rsidRPr="007E0484">
        <w:rPr>
          <w:rFonts w:ascii="Tahoma" w:eastAsia="Times New Roman" w:hAnsi="Tahoma" w:cs="Tahoma"/>
          <w:noProof w:val="0"/>
          <w:color w:val="525252"/>
          <w:sz w:val="19"/>
          <w:szCs w:val="19"/>
          <w:lang w:val="ru-RU" w:eastAsia="ru-RU"/>
        </w:rPr>
        <w:t>:</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1. Члени Громадської ради при Міністерстві;</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2. Представники ІГС;</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3. Представники Міністерства;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4. Представники ЗМІ.</w:t>
      </w:r>
    </w:p>
    <w:p w:rsidR="007E0484" w:rsidRPr="007E0484" w:rsidRDefault="007E0484" w:rsidP="007E0484">
      <w:pPr>
        <w:shd w:val="clear" w:color="auto" w:fill="FFFFFF"/>
        <w:spacing w:after="0"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b/>
          <w:bCs/>
          <w:noProof w:val="0"/>
          <w:color w:val="525252"/>
          <w:sz w:val="19"/>
          <w:szCs w:val="19"/>
          <w:lang w:val="ru-RU" w:eastAsia="ru-RU"/>
        </w:rPr>
        <w:t>Відкриття Установчих зборів.</w:t>
      </w:r>
    </w:p>
    <w:p w:rsidR="007E0484" w:rsidRPr="007E0484" w:rsidRDefault="007E0484" w:rsidP="007E0484">
      <w:pPr>
        <w:shd w:val="clear" w:color="auto" w:fill="FFFFFF"/>
        <w:spacing w:after="0"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b/>
          <w:bCs/>
          <w:noProof w:val="0"/>
          <w:color w:val="525252"/>
          <w:sz w:val="19"/>
          <w:szCs w:val="19"/>
          <w:lang w:val="ru-RU" w:eastAsia="ru-RU"/>
        </w:rPr>
        <w:t>СЛУХАЛИ: </w:t>
      </w:r>
      <w:r w:rsidRPr="007E0484">
        <w:rPr>
          <w:rFonts w:ascii="Tahoma" w:eastAsia="Times New Roman" w:hAnsi="Tahoma" w:cs="Tahoma"/>
          <w:noProof w:val="0"/>
          <w:color w:val="525252"/>
          <w:sz w:val="19"/>
          <w:szCs w:val="19"/>
          <w:lang w:val="ru-RU" w:eastAsia="ru-RU"/>
        </w:rPr>
        <w:t>представника Міністерства начальника Відділу забезпечення взаємодії з державними органами та громадськістю і соціального діалогу Тетяну Орабіну з вітальним словом. На прикінці пані Тетяна залишила телефон для зв’язку (044)255-33-31</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(Лесю Литвинову) представника БО БФ «СВОЇ» з вітальним словом. На засіданні присутні 28 обраних членів громадської ради. Є кворум. Дозволте відкрити перше засідання громадської ради.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Коваль Олександра запропонувала обрати постійно діючу лічильну комісію в тому самому складі, який був на установчих зборах. Вона наголосила, що лічильна комісія добре впоралася за своїми обов’язками на установчих зборах і в повному складі увійшла до громади: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1. Юрій Наконечний</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2. Ксенія Пономарьова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3. Ірина Сазонова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4. Тимофій Бадіков</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5. Ігор Гайович</w:t>
      </w:r>
    </w:p>
    <w:p w:rsidR="007E0484" w:rsidRPr="007E0484" w:rsidRDefault="007E0484" w:rsidP="007E0484">
      <w:pPr>
        <w:shd w:val="clear" w:color="auto" w:fill="FFFFFF"/>
        <w:spacing w:after="0"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b/>
          <w:bCs/>
          <w:noProof w:val="0"/>
          <w:color w:val="525252"/>
          <w:sz w:val="19"/>
          <w:szCs w:val="19"/>
          <w:lang w:val="ru-RU" w:eastAsia="ru-RU"/>
        </w:rPr>
        <w:t>ГОЛОСУВАЛИ</w:t>
      </w:r>
      <w:r w:rsidRPr="007E0484">
        <w:rPr>
          <w:rFonts w:ascii="Tahoma" w:eastAsia="Times New Roman" w:hAnsi="Tahoma" w:cs="Tahoma"/>
          <w:noProof w:val="0"/>
          <w:color w:val="525252"/>
          <w:sz w:val="19"/>
          <w:szCs w:val="19"/>
          <w:lang w:val="ru-RU" w:eastAsia="ru-RU"/>
        </w:rPr>
        <w:t>:</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більшістю голосів.</w:t>
      </w:r>
    </w:p>
    <w:p w:rsidR="007E0484" w:rsidRPr="007E0484" w:rsidRDefault="007E0484" w:rsidP="007E0484">
      <w:pPr>
        <w:shd w:val="clear" w:color="auto" w:fill="FFFFFF"/>
        <w:spacing w:after="0"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b/>
          <w:bCs/>
          <w:noProof w:val="0"/>
          <w:color w:val="525252"/>
          <w:sz w:val="19"/>
          <w:szCs w:val="19"/>
          <w:lang w:val="ru-RU" w:eastAsia="ru-RU"/>
        </w:rPr>
        <w:t>ВИРІШИЛИ:</w:t>
      </w:r>
      <w:r w:rsidRPr="007E0484">
        <w:rPr>
          <w:rFonts w:ascii="Tahoma" w:eastAsia="Times New Roman" w:hAnsi="Tahoma" w:cs="Tahoma"/>
          <w:noProof w:val="0"/>
          <w:color w:val="525252"/>
          <w:sz w:val="19"/>
          <w:szCs w:val="19"/>
          <w:lang w:val="ru-RU" w:eastAsia="ru-RU"/>
        </w:rPr>
        <w:t> обрати лічильну комісію в наступному складі:</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1. Юрій Наконечний</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2. Ксенія Пономарьова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3. Ірина Сазонова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4. Тимофій Бадіков</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5. Ігор Гайович</w:t>
      </w:r>
    </w:p>
    <w:p w:rsidR="007E0484" w:rsidRPr="007E0484" w:rsidRDefault="007E0484" w:rsidP="007E0484">
      <w:pPr>
        <w:shd w:val="clear" w:color="auto" w:fill="FFFFFF"/>
        <w:spacing w:after="0"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b/>
          <w:bCs/>
          <w:noProof w:val="0"/>
          <w:color w:val="525252"/>
          <w:sz w:val="19"/>
          <w:szCs w:val="19"/>
          <w:lang w:val="ru-RU" w:eastAsia="ru-RU"/>
        </w:rPr>
        <w:t>СЛУХАЛИ:</w:t>
      </w:r>
      <w:r w:rsidRPr="007E0484">
        <w:rPr>
          <w:rFonts w:ascii="Tahoma" w:eastAsia="Times New Roman" w:hAnsi="Tahoma" w:cs="Tahoma"/>
          <w:noProof w:val="0"/>
          <w:color w:val="525252"/>
          <w:sz w:val="19"/>
          <w:szCs w:val="19"/>
          <w:lang w:val="ru-RU" w:eastAsia="ru-RU"/>
        </w:rPr>
        <w:t> Юрі Наконечного, який повідомив що за рішенням лічильної комісії його обрано головою лічильної комісії.</w:t>
      </w:r>
    </w:p>
    <w:p w:rsidR="007E0484" w:rsidRPr="007E0484" w:rsidRDefault="007E0484" w:rsidP="007E0484">
      <w:pPr>
        <w:shd w:val="clear" w:color="auto" w:fill="FFFFFF"/>
        <w:spacing w:after="0"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b/>
          <w:bCs/>
          <w:noProof w:val="0"/>
          <w:color w:val="525252"/>
          <w:sz w:val="19"/>
          <w:szCs w:val="19"/>
          <w:lang w:val="ru-RU" w:eastAsia="ru-RU"/>
        </w:rPr>
        <w:t>СЛУХАЛИ:</w:t>
      </w:r>
      <w:r w:rsidRPr="007E0484">
        <w:rPr>
          <w:rFonts w:ascii="Tahoma" w:eastAsia="Times New Roman" w:hAnsi="Tahoma" w:cs="Tahoma"/>
          <w:noProof w:val="0"/>
          <w:color w:val="525252"/>
          <w:sz w:val="19"/>
          <w:szCs w:val="19"/>
          <w:lang w:val="ru-RU" w:eastAsia="ru-RU"/>
        </w:rPr>
        <w:t> Олександру Коваль, яка запропонувала обрати головуючого на зборах.</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Пропозиції з залу:</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1. Олександра Коваль</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2. Оксана Сухорукова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ГОЛОСУВАЛИ: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Олександру Коваль – 28</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Оксану Сухорукову – 1</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ВИРІШИЛИ: обрати головуючою на зборах Олександру Коваль</w:t>
      </w:r>
    </w:p>
    <w:p w:rsidR="007E0484" w:rsidRPr="007E0484" w:rsidRDefault="007E0484" w:rsidP="007E0484">
      <w:pPr>
        <w:shd w:val="clear" w:color="auto" w:fill="FFFFFF"/>
        <w:spacing w:after="0"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b/>
          <w:bCs/>
          <w:noProof w:val="0"/>
          <w:color w:val="525252"/>
          <w:sz w:val="19"/>
          <w:szCs w:val="19"/>
          <w:lang w:val="ru-RU" w:eastAsia="ru-RU"/>
        </w:rPr>
        <w:t>СЛУХАЛИ</w:t>
      </w:r>
      <w:r w:rsidRPr="007E0484">
        <w:rPr>
          <w:rFonts w:ascii="Tahoma" w:eastAsia="Times New Roman" w:hAnsi="Tahoma" w:cs="Tahoma"/>
          <w:noProof w:val="0"/>
          <w:color w:val="525252"/>
          <w:sz w:val="19"/>
          <w:szCs w:val="19"/>
          <w:lang w:val="ru-RU" w:eastAsia="ru-RU"/>
        </w:rPr>
        <w:t>: Олександру Коваль, яка запропонувала обрати секретаря першого засідання.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Пропозиції з залу:</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lastRenderedPageBreak/>
        <w:t>1. Оксана Сухорукова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2. Ірина Савченко</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ГОЛОСУВАЛИ: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Оксану Сухорукову – 28</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Ірину Савченко – 0</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ВИРІШИЛИ: Обрати секретарем першого засідання Оксану Сухорукову</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запропонувала затвердити порядок денний.</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Про основні напрямки роботи Громадської ради про МОЗ України;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Про організаційну структуру Громадської ради про МОЗ України;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Обрання керівних осіб та органів Громадської ради про МОЗ України;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Про створення робочої групи з розробки проектів нової редакції Положення та Регламенту Громадської ради про МОЗ України;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Про планування діяльності Громадської ради про МОЗ України;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Різне.</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ГОЛОСУВАЛИ: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28</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ВИРІШИЛИ: затвердити запропонований порядок денний.</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Радмилу Гревцову, яка запропонувала наступні напрямки роботи Громадської ради про МОЗ України: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Пацієнтський напрямок;</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Лікарсько-фармацевтичний напрям;</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Благодійницько-волонтерський напрям;</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Напрям громадського здоров’я;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Інформаційно-комунікаційний.</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СЛУХАДИ: Віталія Ткачука, який запропонував обов’язково додати в напрямки робити – фінансовий напрямок.</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Михайла Глаговича з пропозицією створити напрямки роботи Громради за напрямками роботу МОЗу.</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Ірину Сазонову, яка наголосила на важливості такого напрямку, як реабілітація та що бачить його в пацієнтському напрямку.</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СЛУХЛИ: Тетяну Кулєшу, яка наголосила на тому, що в кожному напрямку має бути як аналітика так і фінансовий моніторинг</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Віталія Ткачука – ми припускаємося стратегічної помилки. Яка мета нашого існування? Наша дискусія вказує на те, що ми хочемо замінити собою міністерство. А це не правильно. Ми консультаційно дорадчий орган. Плюс громадський контроль. Давайте виходити з цього.</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Євгена Гончара, який наголосив, що для нього важливий розвиток медичної освіти та науки.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поставила на голосування варіанти формування напрямків роботи Громадської ради при МОЗ України: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1. За організаційної структурою МОЗу</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2. За функціями роботи: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Пацієнтський напрямок;</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Лікарсько-фармацевтичний напрям;</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lastRenderedPageBreak/>
        <w:t>- Благодійницько-волонтерський напрям;</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Напрям громадського здоров’я;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Інформаційно-комунікаційний.</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ГОЛОСУВАЛИ: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за організаційною структурою МОЗу – 4;</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за функціями роботи – 25;</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ВИРІШИЛИ: визначити наступні напрямки роботи Громадської Рдаи при МОЗ України: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Пацієнтський напрямок;</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Лікарсько-фармацевтичний напрям;</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Благодійницько-волонтерський напрям;</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Напрям громадського здоров’я;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Інформаційно-комунікаційний.</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запропонувала перейти до наступного порядку денного – про організаційну структуру Громради.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Радмилу Гревцову, яка запропонувала затвердити наступну структуру Громадської Ради у відповідності до чинного Положення та Регламенту ГР:</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Голова, заступники у кількості 2-х осіб, голови комітетів, секретаріат – 3 особи.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Ірину Савченко, яка запропонувала припинити дію Постанови та керуватися Типовим положення про громади до прийняття нового положення по Громраді при МЗ України. А після припинення дії постанови затвердити менш громіздку структуру громади.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Ірину Сазонову, яка запропонувала наступну структуру – 1 голова, 1 заступник, 1 секретар.</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Радмилу Гревцову, яка зауважила, що структура прописана в чинному Положенні та Регламенті і має відповідати ним.</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Телятникову, яка запропонувала на першому засіданні обрати тільки голову, одного заступника та 1 секретаря. Всіх інших обрати після затвердження нового положення про громадську раду при МОЗ України.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поставила на голосування наступний варіант структури громради: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Голова, 2 заступники, голови комітетів, секретаріат – 3 особи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ГОЛСУВАЛИ: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18</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поставила на голосування наступний варіант структури громради: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поки що не змінювати структуру громади, але на першому засіданні обрати тільки голову, одного заступника та 1 секретаря. Всіх інших обрати після затвердження нового положення про громадську раду при МОЗ України.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ГОЛОСУВАЛИ: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28</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ВИРІШИЛИ: не змінювати структуру громади до затвердження нового положення про громаду, але на першому засіданні обрати тільки голову, одного заступника та 1 секретаря. Всіх інших обрати після затвердження нового положення про громадську раду при МОЗ України.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запропонували перейти до наступного пункту порядку денного – обрання голови Громадської Ради.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Пропозиції з залу:</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1. Радмила Гревцова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lastRenderedPageBreak/>
        <w:t>2. Тимофій Бадіков</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3. Олександра Коваль</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Радмилу Гревцову, яка презентувала свою программу (з показом Power-Point презентації).</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На мою думку, місією Громадської ради є сприяння діалогу між громадянським суспільством і МОЗ України та прийняттю Міністерством ефективних управлінських рішень з метою поліпшення індивідуального і громадського здоров’я.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Візія (бачення): Громадська рада – платформа для діалогу між громадянським суспільством і державною владою, незалежний консультант і орган, здатний на оперативне реагування на потреби охорони здоров’я.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Функції і завдання: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Консультативно-дорадчі</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Участь у розробці державної політики, стратегії та планів розвитку охорони здоров’я;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Надання рекомендацій Міністерству з приводу прийняття важливих управлінських рішень.</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Нормативні</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Ініціювання та проведення громадської експертизи нормативно-правових актів</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Комунікативні та медіаційні</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З’ясування і донесення до Міністерства думки інститутів громадянського суспільства з питань, пов’язаних з охороною здоров’я;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Сприяння інформуванню громадськості про діяльність Міністерства;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Сприяння врегулюванню конфліктів та пошуку спільних рішень між органами державної влади, установами, інститутами громадянського суспільства та громадянами.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Контрольні</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Громадська експертиза діяльності Міністерства;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Громадська антикорупційна експертиза нормативно-правових актів.</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Оперативні</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Оперативне реагування на проблеми і виклики в охороні здоров’я.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Стратегії та засоби (інструменти):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Взаємодія з інститутами громадянського суспільства, діяльність яких стосується охорони здоров’я та суміжних сфер, включаючи ЗМІ, лікарські асоціації, профспілки, пацієнтські організації тощо;</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Взаємодія з МОЗ України, іншими міністерствами і відомствами (у разі необхідності), Комітетом Верховної Ради України з питань охорони здоров’я та іншими Комітетами (у разі необхідності), Академією медичних наук України, вищими навчальними закладами тощо;</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Взаємодія з громадськими радами, створеними при інших, ніж МОЗ України, центральних і місцевих органах виконавчої влади;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Створення експертних груп (за напрямами діяльності, для вирішення певних проблем тощо), в т.ч. із залученням осіб, що не входять до складу Громадської ради;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Участь у робочих групах, конкурсних комісіях та ін., що створюються МОЗ України та іншими органами державної влади;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Ініціювання і проведення слухань, конференцій, круглих столів та інших заходів;</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Робота зі зверненнями громадян;</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Міжнародна співпраця.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SWOT-аналіз:</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lastRenderedPageBreak/>
        <w:t>- Сильні сторони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Високий рівень мотивації</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Різноплановий досвід</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Можливість представити і донести точку зору не тільки тих, хто вже давно і довго очолює пацієнтські рухи чи професійні медичні асоціації, а й «немедичної» частини громадянського суспільства, громадських активістів без медичної освіти.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Слабкі сторони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Непредставленість певних груп</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Недостатність власних ресурсів для експертно-консультативної роботи по всім напрямкам</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Відсутність належного матеріально-технічного забезпечення діяльності Громадської ради;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Загрози: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Очікування від Громадської ради, які не відповідають функціям і повноваженням (від ГР при МОЗ будуть очікувати те, що не вдається зробити МОЗ України, Верховній Раді України, правоохоронним органам тощо);</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Можливі спроби зовнішніх впливів</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Можливості:</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Суспільний запит на зміни в охороні здоров’я і активну участь у них інститутів громадянського суспільства.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Основні напрями діяльності (з урахуванням персонального складу ГР):</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Напрям реформування і нормативно-правового забезпечення охорони здоров’я;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Пацієнтський напрям;</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Лікарсько-фармацевтичний напрям;</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Благодійницько-волонтерський напрям;</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Напрям громадського здоров’я;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Інформаційно-комунікаційний.</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Пріоритети Громадської ради: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реформа охорони здоров’я;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удосконалення правового статусу пацієнтів (в т. ч. найбільш вразливих груп), медичних і фармацевтичних працівників (в т.ч. у світлі впровадження міжнародних клінічних протоколів, ініціювання запровадження самоврядування в охороні здоров’я тощо), а також закладів охорони здоров’я (особливо у світлі автономізації), розробка механізмів захисту їхніх прав;</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удосконалення засад благодійності в охороні здоров’я (напр., медичного забезпечення учасників бойових дій та мирного населення в зоні АТО, вимушених переселенців);</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удосконалення засад медичної освіти і науки;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нагальні проблеми медичної і фармацевтичної діяльності та громадського здоров’я (напр., трансплантація, паліативна допомога, психіатрична допомога, реабілітація тощо);</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удосконалення механізмів діяльності громадських рад.</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Громадська рада при МОЗ України може і має бути дієвою. Я знаю що і як роботи і упевнена, що з вашою, колеги, участю, я зможу організувати роботу ГР таким чином, щоби вона стала не просто ефективною, а зразковою!</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Тимофія Бадікова, який розказав про своє бачення роботи в Громраді</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Хочу використати свій досвід та навички, щоб Громадська рада працювала ефективніше, щоб її почула вся країна та сприйняла нас як потужний інструмент.</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lastRenderedPageBreak/>
        <w:t>Я програміст за першою освітою, за другою – маркетолог, і два роки активно займаюся громадською діяльністю.</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Я очолюю громадську організацію «Батьки за вакцинацію», яка менш ніж за 1,5 роки існування стала партнером ВООЗ та міжнародної організації Ротарі. Організація вже отримала від них гранти, оскільки показала свою діяльність.</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Активісти нашої організації, які в регіонах вже показали себе, мають стати адвокатами Громадської ради, та комунікаторами на місцях. Завдяки цьому інструменту нас чує місцева влада. Нашій громадській організації вдалося налагодити механізм, коли на наші звернення швидко реагують МОЗ, ДОЗи.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Так само Громадська рада буде добиватися, щоб на всі її звернення була чітка відповідь.</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Також моя першочергова задача – боротися з корупцією. Члени ГР не повинні перетворити це орган в продовження корпоративної діяльності. Вона має стати органом, який покаже, як можна працювати і вирішувати реальні питання.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Можу сказати відверто, що для мене участь в роботі ГР - це сходинка, оскільки я хочу навчитися ефективно працювати з державною владою та допомогти Громадській раді ефективно працювати. Адже наявність стратегій – це добре, але вони не працюють, якщо немає людей, які будуть їх виконувати.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ПИТАННЯ: Чи отримуєте ви гроші від фармкомпаній?</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ВІДПОВІДЬ: Присягаюся, що ні.</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розповіла про своє бачення роботи громади.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Моя професійна діяльність не пов’язана з медициною – я режисер. В мене є гарні навички організатора та щира любов до людей.</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Останні чотири роки моя волонтерська діяльність постійно стикається з медициною. Кожного дня я стикаюся з проблемою пошуку ліків та влаштування людей в хоспис, доводиться ці проблеми вирішувати «голими руками». Я хочу щоб всі питання вирішувалися системно. Якщо в мене тут це вийде – добре, якщо ні – принаймні, я зробила, що могла.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ПИТАННЯ: Скільки часу Ви можете присвячувати зайнятості Головою ГР?</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ВІДПОВІДЬ:</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РАДМИЛА ГРЕВЦОВА: Незважаючи на велику зайнятість, я дуже організована і системна людина, добре володію навичками тайм-менеджменту. Оскільки робота у ГР є для мене дуже важливою, у разі, якщо я буду обрана Головою ГР, я готова пріоритезувати цю роботу і приділяти їй щонайменше 8 годин на тиждень фізично і стільки, скільки буде потрібно, - віртуально.</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ОЛЕКСАНДРА КОВАЛЬ: Фізично до 6 годин в тиждень. Віртуальній роботі можу присвячувати більше часу.</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ПИТАННЯ: Євген Гончар. Шановні кандидати, розкажіть, будь ласка, по свої джерела доходів?.</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Радмила Гревцова: Зараз я отримую дохід від науково-викладацької діяльності та від юридичної практики. Мешкаю у двокімнатній квартирі, купленій мною за легальні доходи. Раніше працювала у великому телекомунікаційному, а також у міжнародному юридичному бізнесі. Маю заощадження. Усі мої доходи задекларовані, витрати відповідають доходам.</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Тимофій Бадіков. Я працюю консультантом по бізнесу, маю 15-річний досвід роботи в ІТ сфері (створення стартапів, просування бізнесу тощо), чим і заробляю гроші. Щодо фінансування діяльності очолюваної мною ГО: першим нашим партнером став Ротарі Інтернешнл, членом якого я є. Ротарі – це 1,2 млн. ротарійців в усьому світі , фінансування мільярди дол.). Також ми співпрацюємо з ВООЗ. Іншими джерелами фінансування ГО «Батьки за вакцинацію» є членські внески, краудфандинг “Спільнокошт”.</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Ми підтримаємо ті речі, які робить МОЗ, направлені на рішення проблеми імунопрофілактики. Свої конструктивні пропозиції ми зараз висловлюємо у вигляді безлічі запитів на адресу Міністерства та його структурних утворень.</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Готовий приділяти діяльності в ГР декілька годин в день.</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Олександра Коваль</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xml:space="preserve">Я заробляю гроші написанням статей (для «Дзеркала тижня», «Слово та діло», жіночій журнал). Від діяльності у благодійному фонді я не отримую заробітну плату – це було принципове рішення з самого </w:t>
      </w:r>
      <w:r w:rsidRPr="007E0484">
        <w:rPr>
          <w:rFonts w:ascii="Tahoma" w:eastAsia="Times New Roman" w:hAnsi="Tahoma" w:cs="Tahoma"/>
          <w:noProof w:val="0"/>
          <w:color w:val="525252"/>
          <w:sz w:val="19"/>
          <w:szCs w:val="19"/>
          <w:lang w:val="ru-RU" w:eastAsia="ru-RU"/>
        </w:rPr>
        <w:lastRenderedPageBreak/>
        <w:t>початку. Якщо якійсь доброчинець кладе гроші на рахунок фонду, то потім бачить звіт про цільову витрату своїх коштів.</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Олену Коломійчук, радника в.о. Міністра з привітним словом та пропозицією до плідної співпрацію</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ПИТАННЯ: Віталій Ткачук. Чи готові кандидати працювати заступниками, якщо вони не стануть головою громади.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ВІДПОВІДЬ: Радмила Гревцова. Наразі я не бачу для себе можливим працювати заступником Голови ГР, оскільки мала досвід роботи заступником у попередній Громадський раді, намагаючись допомогти Голові в організації роботи. Це було не настільки ефективним, як у випадку, коли ти Голова і реалізуєш власну програму. Я вважаю себе ефективним лідером і менеджером і переконана, що можу бути найбільш корисною саме у якості Голови Громадської ради. У разі, якщо я не буду обрана Головою ГР, я готова активно працювати у якості рядового члена ГР.</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Тимофій Бадіков – готовий</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Олександра Коваль – готова.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поставила на голосування кандидатуру Радимили Гревцової</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ГОЛОСУВАЛИ: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11</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поставила на голосування кандидатуру Тимофія Бадікова.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ГОЛОСУВАЛИ: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10</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поставила на голосування свою кандидатуру.</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ГОЛОСУВАЛИ: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25</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ВИРІШИЛИ: обрати головою Громради Олександру Коваль</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запропонувала перейти до обговорення кандидатури заступника.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Пропозиції з залу:</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1. Радмила Гревцова (самовідвід з раніше висловлених причин).</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2. Іван Сорока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3. Тимофій Бадіков</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4. Євген Гончар</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5. Олександра Телятникова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6. Олексій Шершньов (самовідвід).</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поставила на голосування кандидатуру Івана Сороку.</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ГОЛОСУВАЛИ: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11</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поставила на голосування кандидатуру Тимофія Бадікова.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ГОЛОСУВАЛИ: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17</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поставила на голосування кандидатуру Євгена Гончара.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ГОЛОСУВАЛИ: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16</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поставила на голосування кандидатуру Олександру Телятникову.</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lastRenderedPageBreak/>
        <w:t>ГОЛОСУВАЛИ: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10</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ВИРІШИЛИ: заступником голови Громадської ради обрати Тимофія Бадікова.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запропонувала перейти до обговорення кандидатури секретаря.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Пропозиції з залу:</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1. Ірина Савченко</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2. Євген Гончар</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Юрія Наконечного, який наголосив на тому, що роботи буде багато і можливо є сенс обрати 2х секретарів вже зараз. Радмила Гревцова виступила і підтримала пропозицію про обрання більш, ніж одного секретаря.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поставила на голосування пропозиція брати одразу двох секретарів та проголосувати одразу за Ірину Савченко та Євгена Гончара.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ГОЛОСУВАЛИ: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26</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ВИРІШИЛИ: обрати одразу двох секретарів в наступному складі: Ірина Савченко, Євген Гончар.</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запропонувала перейти до наступного питання порядку денного – створення робочої групи з розробки проектів нової редакції Положення та Регламенту Громадської ради при МОЗ України.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Пропозиції з залу:</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1. Радмила Гревцова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2. Ірина Савченко</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3. Євген Гончар</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поставила на голосування створення робочої групи з розробки нової редакції Положення та Регламенту громади у складі 3х осіб.</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ГОЛОСУВАЛИ: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25</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ВИРІШИЛИ: створити робочу групу з розробки нової редакції Положення та Регламенту громади у складі 3х осіб:</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1. Радмила Гревцова</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2. Ірина Савченко</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3. Євген Гончар</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Радмилу Гревцову, яка доповіла, що нова редакція Положення та Регламенту буде готова до 22 червня 2017 року.</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запропонувала провести наступне засідання громадської ради 22 червня 2017 року та затвердити на ньому нову редакцію Положення.</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ГОЛОСУВАЛИ:</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ЗА – 26</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СЛУХАЛИ: Олександру Коваль, яка оголосила про закриття першого засідання громадської ради.</w:t>
      </w:r>
    </w:p>
    <w:p w:rsidR="007E0484" w:rsidRPr="007E0484" w:rsidRDefault="007E0484" w:rsidP="007E0484">
      <w:pPr>
        <w:shd w:val="clear" w:color="auto" w:fill="FFFFFF"/>
        <w:spacing w:after="0"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b/>
          <w:bCs/>
          <w:noProof w:val="0"/>
          <w:color w:val="525252"/>
          <w:sz w:val="19"/>
          <w:szCs w:val="19"/>
          <w:lang w:val="ru-RU" w:eastAsia="ru-RU"/>
        </w:rPr>
        <w:t>Деякі запитання і відповіді опущені.</w:t>
      </w:r>
    </w:p>
    <w:p w:rsidR="007E0484" w:rsidRPr="007E0484" w:rsidRDefault="007E0484" w:rsidP="007E0484">
      <w:pPr>
        <w:shd w:val="clear" w:color="auto" w:fill="FFFFFF"/>
        <w:spacing w:after="149"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noProof w:val="0"/>
          <w:color w:val="525252"/>
          <w:sz w:val="19"/>
          <w:szCs w:val="19"/>
          <w:lang w:val="ru-RU" w:eastAsia="ru-RU"/>
        </w:rPr>
        <w:t> </w:t>
      </w:r>
    </w:p>
    <w:tbl>
      <w:tblPr>
        <w:tblW w:w="5000" w:type="pct"/>
        <w:shd w:val="clear" w:color="auto" w:fill="FFFFFF"/>
        <w:tblCellMar>
          <w:left w:w="0" w:type="dxa"/>
          <w:right w:w="0" w:type="dxa"/>
        </w:tblCellMar>
        <w:tblLook w:val="04A0"/>
      </w:tblPr>
      <w:tblGrid>
        <w:gridCol w:w="6154"/>
        <w:gridCol w:w="3283"/>
      </w:tblGrid>
      <w:tr w:rsidR="007E0484" w:rsidRPr="007E0484" w:rsidTr="007E0484">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1" w:type="dxa"/>
              <w:bottom w:w="27" w:type="dxa"/>
              <w:right w:w="41" w:type="dxa"/>
            </w:tcMar>
            <w:hideMark/>
          </w:tcPr>
          <w:p w:rsidR="007E0484" w:rsidRPr="007E0484" w:rsidRDefault="007E0484" w:rsidP="007E0484">
            <w:pPr>
              <w:spacing w:after="0"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b/>
                <w:bCs/>
                <w:noProof w:val="0"/>
                <w:color w:val="525252"/>
                <w:sz w:val="19"/>
                <w:szCs w:val="19"/>
                <w:lang w:val="ru-RU" w:eastAsia="ru-RU"/>
              </w:rPr>
              <w:t>Голова громадської ради</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1" w:type="dxa"/>
              <w:bottom w:w="27" w:type="dxa"/>
              <w:right w:w="41" w:type="dxa"/>
            </w:tcMar>
            <w:hideMark/>
          </w:tcPr>
          <w:p w:rsidR="007E0484" w:rsidRPr="007E0484" w:rsidRDefault="007E0484" w:rsidP="007E0484">
            <w:pPr>
              <w:spacing w:after="0"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b/>
                <w:bCs/>
                <w:noProof w:val="0"/>
                <w:color w:val="525252"/>
                <w:sz w:val="19"/>
                <w:szCs w:val="19"/>
                <w:lang w:val="ru-RU" w:eastAsia="ru-RU"/>
              </w:rPr>
              <w:t>О. Коваль</w:t>
            </w:r>
          </w:p>
        </w:tc>
      </w:tr>
      <w:tr w:rsidR="007E0484" w:rsidRPr="007E0484" w:rsidTr="007E0484">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1" w:type="dxa"/>
              <w:bottom w:w="27" w:type="dxa"/>
              <w:right w:w="41" w:type="dxa"/>
            </w:tcMar>
            <w:hideMark/>
          </w:tcPr>
          <w:p w:rsidR="007E0484" w:rsidRPr="007E0484" w:rsidRDefault="007E0484" w:rsidP="007E0484">
            <w:pPr>
              <w:spacing w:after="0"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b/>
                <w:bCs/>
                <w:noProof w:val="0"/>
                <w:color w:val="525252"/>
                <w:sz w:val="19"/>
                <w:szCs w:val="19"/>
                <w:lang w:val="ru-RU" w:eastAsia="ru-RU"/>
              </w:rPr>
              <w:lastRenderedPageBreak/>
              <w:t>Секретар засідання</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1" w:type="dxa"/>
              <w:bottom w:w="27" w:type="dxa"/>
              <w:right w:w="41" w:type="dxa"/>
            </w:tcMar>
            <w:hideMark/>
          </w:tcPr>
          <w:p w:rsidR="007E0484" w:rsidRPr="007E0484" w:rsidRDefault="007E0484" w:rsidP="007E0484">
            <w:pPr>
              <w:spacing w:after="0"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b/>
                <w:bCs/>
                <w:noProof w:val="0"/>
                <w:color w:val="525252"/>
                <w:sz w:val="19"/>
                <w:szCs w:val="19"/>
                <w:lang w:val="ru-RU" w:eastAsia="ru-RU"/>
              </w:rPr>
              <w:t>О. Сухорукова</w:t>
            </w:r>
          </w:p>
        </w:tc>
      </w:tr>
      <w:tr w:rsidR="007E0484" w:rsidRPr="007E0484" w:rsidTr="007E0484">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1" w:type="dxa"/>
              <w:bottom w:w="27" w:type="dxa"/>
              <w:right w:w="41" w:type="dxa"/>
            </w:tcMar>
            <w:hideMark/>
          </w:tcPr>
          <w:p w:rsidR="007E0484" w:rsidRPr="007E0484" w:rsidRDefault="007E0484" w:rsidP="007E0484">
            <w:pPr>
              <w:spacing w:after="0"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b/>
                <w:bCs/>
                <w:noProof w:val="0"/>
                <w:color w:val="525252"/>
                <w:sz w:val="19"/>
                <w:szCs w:val="19"/>
                <w:lang w:val="ru-RU" w:eastAsia="ru-RU"/>
              </w:rPr>
              <w:t>Секретар Громадської ради</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1" w:type="dxa"/>
              <w:bottom w:w="27" w:type="dxa"/>
              <w:right w:w="41" w:type="dxa"/>
            </w:tcMar>
            <w:hideMark/>
          </w:tcPr>
          <w:p w:rsidR="007E0484" w:rsidRPr="007E0484" w:rsidRDefault="007E0484" w:rsidP="007E0484">
            <w:pPr>
              <w:spacing w:after="0"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b/>
                <w:bCs/>
                <w:noProof w:val="0"/>
                <w:color w:val="525252"/>
                <w:sz w:val="19"/>
                <w:szCs w:val="19"/>
                <w:lang w:val="ru-RU" w:eastAsia="ru-RU"/>
              </w:rPr>
              <w:t>І. Савченко</w:t>
            </w:r>
          </w:p>
        </w:tc>
      </w:tr>
      <w:tr w:rsidR="007E0484" w:rsidRPr="007E0484" w:rsidTr="007E0484">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1" w:type="dxa"/>
              <w:bottom w:w="27" w:type="dxa"/>
              <w:right w:w="41" w:type="dxa"/>
            </w:tcMar>
            <w:hideMark/>
          </w:tcPr>
          <w:p w:rsidR="007E0484" w:rsidRPr="007E0484" w:rsidRDefault="007E0484" w:rsidP="007E0484">
            <w:pPr>
              <w:spacing w:after="0" w:line="240" w:lineRule="auto"/>
              <w:rPr>
                <w:rFonts w:ascii="Tahoma" w:eastAsia="Times New Roman" w:hAnsi="Tahoma" w:cs="Tahoma"/>
                <w:noProof w:val="0"/>
                <w:color w:val="525252"/>
                <w:sz w:val="19"/>
                <w:szCs w:val="19"/>
                <w:lang w:val="ru-RU" w:eastAsia="ru-RU"/>
              </w:rPr>
            </w:pP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1" w:type="dxa"/>
              <w:bottom w:w="27" w:type="dxa"/>
              <w:right w:w="41" w:type="dxa"/>
            </w:tcMar>
            <w:hideMark/>
          </w:tcPr>
          <w:p w:rsidR="007E0484" w:rsidRPr="007E0484" w:rsidRDefault="007E0484" w:rsidP="007E0484">
            <w:pPr>
              <w:spacing w:after="0" w:line="240" w:lineRule="auto"/>
              <w:rPr>
                <w:rFonts w:ascii="Tahoma" w:eastAsia="Times New Roman" w:hAnsi="Tahoma" w:cs="Tahoma"/>
                <w:noProof w:val="0"/>
                <w:color w:val="525252"/>
                <w:sz w:val="19"/>
                <w:szCs w:val="19"/>
                <w:lang w:val="ru-RU" w:eastAsia="ru-RU"/>
              </w:rPr>
            </w:pPr>
            <w:r w:rsidRPr="007E0484">
              <w:rPr>
                <w:rFonts w:ascii="Tahoma" w:eastAsia="Times New Roman" w:hAnsi="Tahoma" w:cs="Tahoma"/>
                <w:b/>
                <w:bCs/>
                <w:noProof w:val="0"/>
                <w:color w:val="525252"/>
                <w:sz w:val="19"/>
                <w:szCs w:val="19"/>
                <w:lang w:val="ru-RU" w:eastAsia="ru-RU"/>
              </w:rPr>
              <w:t>Є. Гончар</w:t>
            </w:r>
          </w:p>
        </w:tc>
      </w:tr>
    </w:tbl>
    <w:p w:rsidR="00E75C63" w:rsidRPr="007E0484" w:rsidRDefault="00E75C63" w:rsidP="007E0484"/>
    <w:sectPr w:rsidR="00E75C63" w:rsidRPr="007E0484" w:rsidSect="00E75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F7EAC"/>
    <w:rsid w:val="001823E1"/>
    <w:rsid w:val="0033711E"/>
    <w:rsid w:val="005F7EAC"/>
    <w:rsid w:val="007E0484"/>
    <w:rsid w:val="00D028A2"/>
    <w:rsid w:val="00E75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63"/>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EA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11968138">
      <w:bodyDiv w:val="1"/>
      <w:marLeft w:val="0"/>
      <w:marRight w:val="0"/>
      <w:marTop w:val="0"/>
      <w:marBottom w:val="0"/>
      <w:divBdr>
        <w:top w:val="none" w:sz="0" w:space="0" w:color="auto"/>
        <w:left w:val="none" w:sz="0" w:space="0" w:color="auto"/>
        <w:bottom w:val="none" w:sz="0" w:space="0" w:color="auto"/>
        <w:right w:val="none" w:sz="0" w:space="0" w:color="auto"/>
      </w:divBdr>
    </w:div>
    <w:div w:id="1165318309">
      <w:bodyDiv w:val="1"/>
      <w:marLeft w:val="0"/>
      <w:marRight w:val="0"/>
      <w:marTop w:val="0"/>
      <w:marBottom w:val="0"/>
      <w:divBdr>
        <w:top w:val="none" w:sz="0" w:space="0" w:color="auto"/>
        <w:left w:val="none" w:sz="0" w:space="0" w:color="auto"/>
        <w:bottom w:val="none" w:sz="0" w:space="0" w:color="auto"/>
        <w:right w:val="none" w:sz="0" w:space="0" w:color="auto"/>
      </w:divBdr>
    </w:div>
    <w:div w:id="12542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2824</Words>
  <Characters>16101</Characters>
  <Application>Microsoft Office Word</Application>
  <DocSecurity>0</DocSecurity>
  <Lines>134</Lines>
  <Paragraphs>37</Paragraphs>
  <ScaleCrop>false</ScaleCrop>
  <Company>RePack by SPecialiST</Company>
  <LinksUpToDate>false</LinksUpToDate>
  <CharactersWithSpaces>18888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2017-12-11T14:26:00Z</dcterms:created>
  <dcterms:modified xsi:type="dcterms:W3CDTF">2017-12-11T14:26:00Z</dcterms:modified>
</cp:coreProperties>
</file>